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lang w:val="en-US" w:eastAsia="zh-CN"/>
        </w:rPr>
        <w:t xml:space="preserve">赣榆区</w:t>
      </w:r>
      <w:r>
        <w:rPr>
          <w:rFonts w:hint="eastAsia" w:ascii="宋体" w:hAnsi="宋体" w:eastAsia="宋体" w:cs="宋体"/>
          <w:b/>
          <w:sz w:val="72"/>
          <w:szCs w:val="72"/>
        </w:rPr>
        <w:t xml:space="preserve">政府采购</w:t>
      </w:r>
      <w:r/>
    </w:p>
    <w:p>
      <w:pPr>
        <w:jc w:val="center"/>
        <w:rPr>
          <w:rFonts w:hint="eastAsia" w:ascii="宋体" w:hAnsi="宋体" w:eastAsia="宋体" w:cs="宋体"/>
          <w:b/>
          <w:sz w:val="72"/>
          <w:szCs w:val="72"/>
        </w:rPr>
      </w:pPr>
      <w:r>
        <w:rPr>
          <w:rFonts w:hint="eastAsia" w:ascii="宋体" w:hAnsi="宋体" w:eastAsia="宋体" w:cs="宋体"/>
          <w:b/>
          <w:sz w:val="72"/>
          <w:szCs w:val="72"/>
        </w:rPr>
      </w:r>
      <w:r/>
    </w:p>
    <w:p>
      <w:pPr>
        <w:jc w:val="center"/>
        <w:rPr>
          <w:rFonts w:hint="eastAsia" w:ascii="宋体" w:hAnsi="宋体" w:eastAsia="宋体" w:cs="宋体"/>
          <w:b/>
          <w:sz w:val="72"/>
          <w:szCs w:val="72"/>
        </w:rPr>
      </w:pPr>
      <w:r>
        <w:rPr>
          <w:rFonts w:hint="eastAsia" w:ascii="宋体" w:hAnsi="宋体" w:eastAsia="宋体" w:cs="宋体"/>
          <w:b/>
          <w:sz w:val="72"/>
          <w:szCs w:val="72"/>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pStyle w:val="802"/>
        <w:rPr>
          <w:rFonts w:hint="eastAsia" w:ascii="宋体" w:hAnsi="宋体" w:eastAsia="宋体" w:cs="宋体"/>
        </w:rPr>
      </w:pPr>
      <w:r>
        <w:rPr>
          <w:rFonts w:hint="eastAsia" w:ascii="宋体" w:hAnsi="宋体" w:eastAsia="宋体" w:cs="宋体"/>
        </w:rPr>
      </w:r>
      <w:r/>
    </w:p>
    <w:p>
      <w:pPr>
        <w:ind w:firstLine="643"/>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val="en-US" w:eastAsia="zh-CN"/>
        </w:rPr>
        <w:t xml:space="preserve">项目名称</w:t>
      </w:r>
      <w:r>
        <w:rPr>
          <w:rFonts w:hint="eastAsia" w:ascii="宋体" w:hAnsi="宋体" w:eastAsia="宋体" w:cs="宋体"/>
          <w:b/>
          <w:bCs/>
          <w:color w:val="000000"/>
          <w:sz w:val="32"/>
          <w:szCs w:val="24"/>
        </w:rPr>
        <w:t xml:space="preserve">：</w:t>
      </w:r>
      <w:r>
        <w:rPr>
          <w:rFonts w:hint="eastAsia" w:ascii="宋体" w:hAnsi="宋体" w:eastAsia="宋体" w:cs="宋体"/>
          <w:b/>
          <w:bCs/>
          <w:color w:val="000000"/>
          <w:sz w:val="32"/>
          <w:szCs w:val="24"/>
          <w:lang w:eastAsia="zh-CN"/>
        </w:rPr>
        <w:t xml:space="preserve">2026年度赣榆区孤独症残疾儿童基本康复服务项目</w:t>
      </w:r>
      <w:r/>
    </w:p>
    <w:p>
      <w:pPr>
        <w:jc w:val="center"/>
        <w:spacing w:line="48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lang w:eastAsia="zh-CN"/>
        </w:rPr>
        <w:t xml:space="preserve">四标段（非专门面向中小企业）</w:t>
      </w:r>
      <w:r/>
    </w:p>
    <w:p>
      <w:pPr>
        <w:ind w:firstLine="643"/>
        <w:spacing w:line="480" w:lineRule="auto"/>
        <w:rPr>
          <w:rFonts w:hint="default" w:ascii="宋体" w:hAnsi="宋体" w:eastAsia="宋体" w:cs="宋体"/>
          <w:b/>
          <w:bCs/>
          <w:color w:val="auto"/>
          <w:sz w:val="32"/>
          <w:szCs w:val="24"/>
          <w:lang w:val="en-US" w:eastAsia="zh-CN"/>
        </w:rPr>
      </w:pPr>
      <w:r>
        <w:rPr>
          <w:rFonts w:hint="eastAsia" w:ascii="宋体" w:hAnsi="宋体" w:eastAsia="宋体" w:cs="宋体"/>
          <w:b/>
          <w:bCs/>
          <w:color w:val="000000"/>
          <w:sz w:val="32"/>
          <w:szCs w:val="24"/>
          <w:lang w:val="en-US" w:eastAsia="zh-CN"/>
        </w:rPr>
        <w:t xml:space="preserve">项目编号</w:t>
      </w:r>
      <w:r>
        <w:rPr>
          <w:rFonts w:hint="eastAsia" w:ascii="宋体" w:hAnsi="宋体" w:eastAsia="宋体" w:cs="宋体"/>
          <w:b/>
          <w:bCs/>
          <w:color w:val="000000"/>
          <w:sz w:val="32"/>
          <w:szCs w:val="24"/>
        </w:rPr>
        <w:t xml:space="preserve">：</w:t>
      </w:r>
      <w:r>
        <w:rPr>
          <w:rFonts w:hint="eastAsia" w:ascii="宋体" w:hAnsi="宋体" w:eastAsia="宋体" w:cs="宋体"/>
          <w:b/>
          <w:bCs/>
          <w:color w:val="auto"/>
          <w:sz w:val="32"/>
          <w:szCs w:val="24"/>
          <w:lang w:eastAsia="zh-CN"/>
        </w:rPr>
        <w:t xml:space="preserve">JSZC-320707-DYZH-C2025-00</w:t>
      </w:r>
      <w:r>
        <w:rPr>
          <w:rFonts w:hint="eastAsia" w:ascii="宋体" w:hAnsi="宋体" w:eastAsia="宋体" w:cs="宋体"/>
          <w:b/>
          <w:bCs/>
          <w:color w:val="auto"/>
          <w:sz w:val="32"/>
          <w:szCs w:val="24"/>
          <w:lang w:val="en-US" w:eastAsia="zh-CN"/>
        </w:rPr>
        <w:t xml:space="preserve">20</w:t>
      </w:r>
      <w:r/>
    </w:p>
    <w:p>
      <w:pPr>
        <w:ind w:firstLine="1325"/>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pStyle w:val="803"/>
        <w:ind w:firstLine="643"/>
        <w:rPr>
          <w:rFonts w:hint="eastAsia" w:ascii="宋体" w:hAnsi="宋体" w:eastAsia="宋体" w:cs="宋体"/>
          <w:b/>
          <w:bCs/>
          <w:color w:val="000000"/>
          <w:sz w:val="32"/>
        </w:rPr>
      </w:pPr>
      <w:r>
        <w:rPr>
          <w:rFonts w:hint="eastAsia" w:ascii="宋体" w:hAnsi="宋体" w:eastAsia="宋体" w:cs="宋体"/>
          <w:b/>
          <w:bCs/>
          <w:color w:val="000000"/>
          <w:sz w:val="32"/>
        </w:rPr>
        <w:t xml:space="preserve">采   购   人：</w:t>
      </w:r>
      <w:r>
        <w:rPr>
          <w:rFonts w:hint="eastAsia" w:ascii="宋体" w:hAnsi="宋体" w:eastAsia="宋体" w:cs="宋体"/>
          <w:b/>
          <w:bCs/>
          <w:sz w:val="32"/>
          <w:szCs w:val="32"/>
        </w:rPr>
        <w:t xml:space="preserve">连云港市赣榆区残疾人联合会</w:t>
      </w:r>
      <w:r/>
    </w:p>
    <w:p>
      <w:pPr>
        <w:pStyle w:val="803"/>
        <w:ind w:firstLine="643"/>
        <w:rPr>
          <w:rFonts w:hint="eastAsia" w:ascii="宋体" w:hAnsi="宋体" w:eastAsia="宋体" w:cs="宋体"/>
          <w:b/>
          <w:bCs/>
          <w:color w:val="000000"/>
          <w:sz w:val="32"/>
          <w:lang w:eastAsia="zh-CN"/>
        </w:rPr>
      </w:pPr>
      <w:r>
        <w:rPr>
          <w:rFonts w:hint="eastAsia" w:ascii="宋体" w:hAnsi="宋体" w:eastAsia="宋体" w:cs="宋体"/>
          <w:b/>
          <w:bCs/>
          <w:color w:val="000000"/>
          <w:sz w:val="32"/>
        </w:rPr>
        <w:t xml:space="preserve">采购代理机构：</w:t>
      </w:r>
      <w:r>
        <w:rPr>
          <w:rFonts w:hint="eastAsia" w:cs="宋体"/>
          <w:b/>
          <w:bCs/>
          <w:spacing w:val="20"/>
          <w:sz w:val="32"/>
          <w:lang w:eastAsia="zh-CN"/>
        </w:rPr>
        <w:t xml:space="preserve">江苏德益臻项目管理有限公司</w:t>
      </w:r>
      <w:r/>
    </w:p>
    <w:p>
      <w:pPr>
        <w:pStyle w:val="803"/>
        <w:ind w:firstLine="2570"/>
        <w:jc w:val="both"/>
        <w:rPr>
          <w:rFonts w:hint="eastAsia" w:ascii="宋体" w:hAnsi="宋体" w:eastAsia="宋体" w:cs="宋体"/>
          <w:b/>
          <w:bCs/>
          <w:color w:val="000000"/>
          <w:sz w:val="32"/>
        </w:rPr>
      </w:pPr>
      <w:r>
        <w:rPr>
          <w:rFonts w:hint="eastAsia" w:ascii="宋体" w:hAnsi="宋体" w:eastAsia="宋体" w:cs="宋体"/>
          <w:b/>
          <w:bCs/>
          <w:color w:val="000000"/>
          <w:sz w:val="32"/>
        </w:rPr>
      </w:r>
      <w:r/>
    </w:p>
    <w:p>
      <w:pPr>
        <w:pStyle w:val="803"/>
        <w:ind w:firstLine="4568"/>
        <w:jc w:val="both"/>
        <w:rPr>
          <w:rFonts w:hint="eastAsia" w:ascii="宋体" w:hAnsi="宋体" w:eastAsia="宋体" w:cs="宋体"/>
          <w:b/>
          <w:bCs/>
          <w:color w:val="000000"/>
          <w:sz w:val="32"/>
        </w:rPr>
      </w:pPr>
      <w:r>
        <w:rPr>
          <w:rFonts w:hint="eastAsia" w:ascii="宋体" w:hAnsi="宋体" w:eastAsia="宋体" w:cs="宋体"/>
          <w:b/>
          <w:bCs/>
          <w:color w:val="000000"/>
          <w:sz w:val="32"/>
        </w:rPr>
        <w:t xml:space="preserve">202</w:t>
      </w:r>
      <w:r>
        <w:rPr>
          <w:rFonts w:hint="eastAsia" w:ascii="宋体" w:hAnsi="宋体" w:eastAsia="宋体" w:cs="宋体"/>
          <w:b/>
          <w:bCs/>
          <w:color w:val="000000"/>
          <w:sz w:val="32"/>
          <w:lang w:val="en-US" w:eastAsia="zh-CN"/>
        </w:rPr>
        <w:t xml:space="preserve">5</w:t>
      </w:r>
      <w:r>
        <w:rPr>
          <w:rFonts w:hint="eastAsia" w:ascii="宋体" w:hAnsi="宋体" w:eastAsia="宋体" w:cs="宋体"/>
          <w:b/>
          <w:bCs/>
          <w:color w:val="000000"/>
          <w:sz w:val="32"/>
        </w:rPr>
        <w:t xml:space="preserve">年</w:t>
      </w:r>
      <w:r>
        <w:rPr>
          <w:rFonts w:hint="eastAsia" w:cs="宋体"/>
          <w:b/>
          <w:bCs/>
          <w:color w:val="000000"/>
          <w:sz w:val="32"/>
          <w:lang w:val="en-US" w:eastAsia="zh-CN"/>
        </w:rPr>
        <w:t xml:space="preserve">12</w:t>
      </w:r>
      <w:r>
        <w:rPr>
          <w:rFonts w:hint="eastAsia" w:ascii="宋体" w:hAnsi="宋体" w:eastAsia="宋体" w:cs="宋体"/>
          <w:b/>
          <w:bCs/>
          <w:color w:val="000000"/>
          <w:sz w:val="32"/>
        </w:rPr>
        <w:t xml:space="preserve">月</w:t>
      </w:r>
      <w:r/>
    </w:p>
    <w:p>
      <w:pPr>
        <w:jc w:val="center"/>
        <w:spacing w:before="120" w:after="120" w:line="360" w:lineRule="auto"/>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767"/>
        <w:jc w:val="center"/>
        <w:spacing w:before="156" w:after="156" w:line="360" w:lineRule="auto"/>
        <w:rPr>
          <w:rFonts w:hint="eastAsia" w:ascii="宋体" w:hAnsi="宋体" w:eastAsia="宋体" w:cs="宋体"/>
          <w:b w:val="0"/>
        </w:rPr>
        <w:sectPr>
          <w:footerReference w:type="default" r:id="rId9"/>
          <w:footnotePr/>
          <w:endnotePr/>
          <w:type w:val="nextPage"/>
          <w:pgSz w:w="11911" w:h="16838" w:orient="portrait"/>
          <w:pgMar w:top="1083" w:right="1060" w:bottom="1417" w:left="1202" w:header="884" w:footer="0" w:gutter="0"/>
          <w:cols w:num="1" w:sep="0" w:space="0" w:equalWidth="1"/>
          <w:docGrid w:linePitch="360"/>
        </w:sectPr>
      </w:pPr>
      <w:r>
        <w:rPr>
          <w:rFonts w:hint="eastAsia" w:ascii="宋体" w:hAnsi="宋体" w:eastAsia="宋体" w:cs="宋体"/>
          <w:b w:val="0"/>
        </w:rPr>
      </w:r>
      <w:r/>
    </w:p>
    <w:p>
      <w:pPr>
        <w:pStyle w:val="767"/>
        <w:jc w:val="center"/>
        <w:spacing w:before="156" w:after="156" w:line="360" w:lineRule="auto"/>
        <w:rPr>
          <w:rFonts w:hint="eastAsia" w:ascii="宋体" w:hAnsi="宋体" w:eastAsia="宋体" w:cs="宋体"/>
          <w:b w:val="0"/>
          <w:bCs/>
          <w:sz w:val="32"/>
          <w:szCs w:val="32"/>
        </w:rPr>
      </w:pPr>
      <w:r>
        <w:rPr>
          <w:rFonts w:hint="eastAsia" w:ascii="宋体" w:hAnsi="宋体" w:eastAsia="宋体" w:cs="宋体"/>
          <w:b w:val="0"/>
          <w:bCs/>
          <w:sz w:val="32"/>
          <w:szCs w:val="32"/>
        </w:rPr>
        <w:t xml:space="preserve">目  录</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第一章  投标邀请</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第二章  投标人须知</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第三章  合同文本</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第四章  采购需求</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第五章  评标方法与评标标准</w:t>
      </w:r>
      <w:r/>
    </w:p>
    <w:p>
      <w:pPr>
        <w:pStyle w:val="794"/>
        <w:keepLines w:val="0"/>
        <w:keepNext w:val="0"/>
        <w:pageBreakBefore w:val="0"/>
        <w:spacing w:line="480" w:lineRule="auto"/>
        <w:widowControl w:val="off"/>
        <w:tabs>
          <w:tab w:val="right" w:pos="8296" w:leader="dot"/>
        </w:tabs>
        <w:rPr>
          <w:rFonts w:hint="eastAsia" w:ascii="宋体" w:hAnsi="宋体" w:eastAsia="宋体" w:cs="宋体"/>
          <w:b w:val="0"/>
          <w:bCs/>
          <w:sz w:val="28"/>
          <w:szCs w:val="28"/>
        </w:rPr>
      </w:pPr>
      <w:r>
        <w:rPr>
          <w:rFonts w:hint="eastAsia" w:ascii="宋体" w:hAnsi="宋体" w:eastAsia="宋体" w:cs="宋体"/>
          <w:b w:val="0"/>
          <w:bCs/>
          <w:sz w:val="28"/>
          <w:szCs w:val="28"/>
        </w:rPr>
        <w:t xml:space="preserve">第六章  投标文件格式</w:t>
      </w:r>
      <w:r/>
    </w:p>
    <w:p>
      <w:pPr>
        <w:keepLines w:val="0"/>
        <w:keepNext w:val="0"/>
        <w:pageBreakBefore w:val="0"/>
        <w:spacing w:line="360" w:lineRule="auto"/>
        <w:widowControl w:val="off"/>
        <w:rPr>
          <w:rFonts w:hint="eastAsia"/>
          <w:sz w:val="28"/>
          <w:szCs w:val="28"/>
        </w:rPr>
      </w:pPr>
      <w:r>
        <w:rPr>
          <w:rFonts w:hint="eastAsia"/>
          <w:sz w:val="28"/>
          <w:szCs w:val="28"/>
        </w:rPr>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767"/>
        <w:jc w:val="center"/>
        <w:spacing w:before="156" w:after="156" w:line="360" w:lineRule="auto"/>
        <w:rPr>
          <w:rFonts w:hint="eastAsia" w:ascii="宋体" w:hAnsi="宋体" w:eastAsia="宋体" w:cs="宋体"/>
          <w:b w:val="0"/>
        </w:rPr>
        <w:sectPr>
          <w:footerReference w:type="default" r:id="rId10"/>
          <w:footnotePr/>
          <w:endnotePr/>
          <w:type w:val="nextPage"/>
          <w:pgSz w:w="11911" w:h="16838" w:orient="portrait"/>
          <w:pgMar w:top="1366" w:right="720" w:bottom="278" w:left="1145" w:header="884" w:footer="0" w:gutter="0"/>
          <w:pgNumType w:start="1"/>
          <w:cols w:num="1" w:sep="0" w:space="0" w:equalWidth="1"/>
          <w:docGrid w:linePitch="360"/>
        </w:sectPr>
      </w:pPr>
      <w:r/>
      <w:bookmarkStart w:id="0" w:name="_Toc155796356"/>
      <w:r/>
      <w:r/>
    </w:p>
    <w:p>
      <w:pPr>
        <w:pStyle w:val="767"/>
        <w:jc w:val="center"/>
        <w:spacing w:before="156" w:after="156" w:line="360" w:lineRule="auto"/>
        <w:rPr>
          <w:rFonts w:hint="eastAsia" w:ascii="宋体" w:hAnsi="宋体" w:eastAsia="宋体" w:cs="宋体"/>
          <w:b w:val="0"/>
          <w:sz w:val="30"/>
          <w:szCs w:val="30"/>
        </w:rPr>
      </w:pPr>
      <w:r>
        <w:rPr>
          <w:rFonts w:hint="eastAsia" w:ascii="宋体" w:hAnsi="宋体" w:eastAsia="宋体" w:cs="宋体"/>
          <w:b w:val="0"/>
          <w:sz w:val="30"/>
          <w:szCs w:val="30"/>
        </w:rPr>
        <w:t xml:space="preserve">第一章  投标邀请</w:t>
      </w:r>
      <w:bookmarkEnd w:id="0"/>
      <w:r/>
      <w:r/>
    </w:p>
    <w:p>
      <w:pPr>
        <w:ind w:firstLine="420"/>
        <w:spacing w:line="480" w:lineRule="auto"/>
        <w:rPr>
          <w:rFonts w:hint="eastAsia" w:ascii="宋体" w:hAnsi="宋体" w:eastAsia="宋体" w:cs="宋体"/>
          <w:sz w:val="21"/>
          <w:szCs w:val="21"/>
        </w:rPr>
      </w:pPr>
      <w:r>
        <w:rPr>
          <w:rFonts w:hint="eastAsia" w:ascii="宋体" w:hAnsi="宋体" w:eastAsia="宋体" w:cs="宋体"/>
          <w:sz w:val="21"/>
          <w:szCs w:val="21"/>
        </w:rPr>
        <w:t xml:space="preserve">受</w:t>
      </w:r>
      <w:r>
        <w:rPr>
          <w:rFonts w:hint="eastAsia" w:ascii="宋体" w:hAnsi="宋体" w:eastAsia="宋体" w:cs="宋体"/>
          <w:b/>
          <w:bCs/>
          <w:sz w:val="21"/>
          <w:szCs w:val="21"/>
          <w:u w:val="single"/>
        </w:rPr>
        <w:t xml:space="preserve">连云港市赣榆区残疾人联合会</w:t>
      </w:r>
      <w:r>
        <w:rPr>
          <w:rFonts w:hint="eastAsia" w:ascii="宋体" w:hAnsi="宋体" w:eastAsia="宋体" w:cs="宋体"/>
          <w:sz w:val="21"/>
          <w:szCs w:val="21"/>
        </w:rPr>
        <w:t xml:space="preserve">的委托，</w:t>
      </w:r>
      <w:r>
        <w:rPr>
          <w:rFonts w:hint="eastAsia" w:ascii="宋体" w:hAnsi="宋体" w:eastAsia="宋体" w:cs="宋体"/>
          <w:b/>
          <w:bCs/>
          <w:sz w:val="21"/>
          <w:szCs w:val="21"/>
          <w:u w:val="single"/>
          <w:lang w:eastAsia="zh-CN"/>
        </w:rPr>
        <w:t xml:space="preserve">江苏德益臻项目管理有限公司</w:t>
      </w:r>
      <w:r>
        <w:rPr>
          <w:rFonts w:hint="eastAsia" w:ascii="宋体" w:hAnsi="宋体" w:eastAsia="宋体" w:cs="宋体"/>
          <w:sz w:val="21"/>
          <w:szCs w:val="21"/>
        </w:rPr>
        <w:t xml:space="preserve">就</w:t>
      </w:r>
      <w:r>
        <w:rPr>
          <w:rFonts w:hint="eastAsia" w:ascii="宋体" w:hAnsi="宋体" w:eastAsia="宋体" w:cs="宋体"/>
          <w:b/>
          <w:bCs/>
          <w:sz w:val="21"/>
          <w:szCs w:val="21"/>
          <w:highlight w:val="none"/>
          <w:u w:val="single"/>
          <w:lang w:eastAsia="zh-CN"/>
        </w:rPr>
        <w:t xml:space="preserve">2026年度赣榆区孤独症残疾儿童基本康复服务项目四标段（非专门面向中小企业）</w:t>
      </w:r>
      <w:r>
        <w:rPr>
          <w:rFonts w:hint="eastAsia" w:ascii="宋体" w:hAnsi="宋体" w:eastAsia="宋体" w:cs="宋体"/>
          <w:sz w:val="21"/>
          <w:szCs w:val="21"/>
        </w:rPr>
        <w:t xml:space="preserve">项目</w:t>
      </w:r>
      <w:r>
        <w:rPr>
          <w:rFonts w:hint="eastAsia" w:ascii="宋体" w:hAnsi="宋体" w:eastAsia="宋体" w:cs="宋体"/>
          <w:color w:val="auto"/>
          <w:sz w:val="21"/>
          <w:szCs w:val="21"/>
        </w:rPr>
        <w:t xml:space="preserve">（</w:t>
      </w:r>
      <w:r>
        <w:rPr>
          <w:rFonts w:hint="eastAsia" w:ascii="宋体" w:hAnsi="宋体" w:eastAsia="宋体" w:cs="宋体"/>
          <w:b/>
          <w:bCs/>
          <w:color w:val="auto"/>
          <w:sz w:val="21"/>
          <w:szCs w:val="21"/>
          <w:highlight w:val="none"/>
          <w:u w:val="single"/>
          <w:lang w:eastAsia="zh-CN"/>
        </w:rPr>
        <w:t xml:space="preserve">JSZC-320707-DYZH-C2025-00</w:t>
      </w:r>
      <w:r>
        <w:rPr>
          <w:rFonts w:hint="eastAsia" w:ascii="宋体" w:hAnsi="宋体" w:eastAsia="宋体" w:cs="宋体"/>
          <w:b/>
          <w:bCs/>
          <w:color w:val="auto"/>
          <w:sz w:val="21"/>
          <w:szCs w:val="21"/>
          <w:highlight w:val="none"/>
          <w:u w:val="single"/>
          <w:lang w:val="en-US" w:eastAsia="zh-CN"/>
        </w:rPr>
        <w:t xml:space="preserve">20</w:t>
      </w:r>
      <w:r>
        <w:rPr>
          <w:rFonts w:hint="eastAsia" w:ascii="宋体" w:hAnsi="宋体" w:eastAsia="宋体" w:cs="宋体"/>
          <w:color w:val="auto"/>
          <w:sz w:val="21"/>
          <w:szCs w:val="21"/>
        </w:rPr>
        <w:t xml:space="preserve">）</w:t>
      </w:r>
      <w:r>
        <w:rPr>
          <w:rFonts w:hint="eastAsia" w:ascii="宋体" w:hAnsi="宋体" w:eastAsia="宋体" w:cs="宋体"/>
          <w:sz w:val="21"/>
          <w:szCs w:val="21"/>
        </w:rPr>
        <w:t xml:space="preserve">进行公开招标采购，欢迎符合条件的供应商投标。</w:t>
      </w:r>
      <w:r/>
    </w:p>
    <w:tbl>
      <w:tblPr>
        <w:tblStyle w:val="80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33"/>
      </w:tblGrid>
      <w:tr>
        <w:trPr>
          <w:trHeight w:val="1937"/>
        </w:trPr>
        <w:tc>
          <w:tcPr>
            <w:tcW w:w="10320" w:type="dxa"/>
            <w:textDirection w:val="lrTb"/>
            <w:noWrap w:val="false"/>
          </w:tcPr>
          <w:p>
            <w:pPr>
              <w:ind w:firstLine="420"/>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rPr>
              <w:t xml:space="preserve">项目概况</w:t>
            </w:r>
            <w:r/>
          </w:p>
          <w:p>
            <w:pPr>
              <w:ind w:firstLine="422"/>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b/>
                <w:bCs/>
                <w:sz w:val="21"/>
                <w:szCs w:val="21"/>
                <w:highlight w:val="none"/>
                <w:u w:val="single"/>
                <w:lang w:eastAsia="zh-CN"/>
              </w:rPr>
              <w:t xml:space="preserve">2026年度赣榆区孤独症残疾儿童基本康复服务项目四标段（非专门面向中小企业）</w:t>
            </w:r>
            <w:r>
              <w:rPr>
                <w:rFonts w:hint="eastAsia" w:ascii="宋体" w:hAnsi="宋体" w:eastAsia="宋体" w:cs="宋体"/>
                <w:sz w:val="21"/>
                <w:szCs w:val="21"/>
              </w:rPr>
              <w:t xml:space="preserve">招标项目的潜在投标人应在江苏政府采购网自行免费下载招标文件，并于</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01</w:t>
            </w:r>
            <w:r>
              <w:rPr>
                <w:rFonts w:hint="eastAsia" w:ascii="宋体" w:hAnsi="宋体" w:eastAsia="宋体" w:cs="宋体"/>
                <w:color w:val="ff0000"/>
                <w:sz w:val="21"/>
                <w:szCs w:val="21"/>
                <w:highlight w:val="none"/>
              </w:rPr>
              <w:t xml:space="preserve">月16</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（北京时间）前递交（上传）投标文件。</w:t>
            </w:r>
            <w:r/>
          </w:p>
        </w:tc>
      </w:tr>
    </w:tbl>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一、项目基本情况</w:t>
      </w:r>
      <w:r/>
    </w:p>
    <w:p>
      <w:pPr>
        <w:ind w:firstLine="420"/>
        <w:jc w:val="both"/>
        <w:keepLines w:val="0"/>
        <w:keepNext w:val="0"/>
        <w:pageBreakBefore w:val="0"/>
        <w:spacing w:line="360" w:lineRule="auto"/>
        <w:widowControl w:val="off"/>
        <w:rPr>
          <w:rFonts w:hint="default" w:ascii="宋体" w:hAnsi="宋体" w:eastAsia="宋体" w:cs="宋体"/>
          <w:color w:val="ff0000"/>
          <w:sz w:val="21"/>
          <w:szCs w:val="21"/>
          <w:u w:val="none"/>
          <w:lang w:val="en-US" w:eastAsia="zh-CN"/>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rPr>
        <w:t xml:space="preserve">：</w:t>
      </w:r>
      <w:r>
        <w:rPr>
          <w:rFonts w:hint="eastAsia" w:ascii="宋体" w:hAnsi="宋体" w:eastAsia="宋体" w:cs="宋体"/>
          <w:b/>
          <w:bCs/>
          <w:color w:val="auto"/>
          <w:sz w:val="21"/>
          <w:szCs w:val="21"/>
          <w:highlight w:val="none"/>
          <w:u w:val="none"/>
          <w:lang w:eastAsia="zh-CN"/>
        </w:rPr>
        <w:t xml:space="preserve">JSZC-320707-DYZH-C2025-00</w:t>
      </w:r>
      <w:r>
        <w:rPr>
          <w:rFonts w:hint="eastAsia" w:ascii="宋体" w:hAnsi="宋体" w:eastAsia="宋体" w:cs="宋体"/>
          <w:b/>
          <w:bCs/>
          <w:color w:val="auto"/>
          <w:sz w:val="21"/>
          <w:szCs w:val="21"/>
          <w:highlight w:val="none"/>
          <w:u w:val="none"/>
          <w:lang w:val="en-US" w:eastAsia="zh-CN"/>
        </w:rPr>
        <w:t xml:space="preserve">20</w:t>
      </w:r>
      <w:r/>
    </w:p>
    <w:p>
      <w:pPr>
        <w:ind w:firstLine="420"/>
        <w:jc w:val="both"/>
        <w:keepLines w:val="0"/>
        <w:keepNext w:val="0"/>
        <w:pageBreakBefore w:val="0"/>
        <w:spacing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rPr>
        <w:t xml:space="preserve">：</w:t>
      </w:r>
      <w:r>
        <w:rPr>
          <w:rFonts w:hint="eastAsia" w:ascii="宋体" w:hAnsi="宋体" w:eastAsia="宋体" w:cs="宋体"/>
          <w:sz w:val="21"/>
          <w:szCs w:val="21"/>
          <w:highlight w:val="none"/>
          <w:lang w:eastAsia="zh-CN"/>
        </w:rPr>
        <w:t xml:space="preserve">2026年度赣榆区孤独症残疾儿童基本康复服务项目四标段（非专门面向中小企业）</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、采购方式：公开招标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ascii="SimSun" w:hAnsi="SimSun" w:eastAsia="SimSun" w:cs="SimSun"/>
          <w:color w:val="000000"/>
          <w:sz w:val="21"/>
        </w:rPr>
        <w:t xml:space="preserve">预算金额：</w:t>
      </w:r>
      <w:r>
        <w:rPr>
          <w:rFonts w:ascii="SimSun" w:hAnsi="SimSun" w:eastAsia="SimSun" w:cs="SimSun"/>
          <w:b/>
          <w:color w:val="000000"/>
          <w:sz w:val="21"/>
        </w:rPr>
        <w:t xml:space="preserve">111.00005万元</w:t>
      </w:r>
      <w:r>
        <w:rPr>
          <w:rFonts w:ascii="SimSun" w:hAnsi="SimSun" w:eastAsia="SimSun" w:cs="SimSun"/>
          <w:b/>
          <w:color w:val="000000"/>
          <w:sz w:val="21"/>
        </w:rPr>
        <w:t xml:space="preserve">，最终结算根据具体服务人数确定。本项目采用固定单价报价，价格不列为评审因素。</w:t>
      </w:r>
      <w:r>
        <w:rPr>
          <w:sz w:val="21"/>
        </w:rPr>
      </w:r>
      <w:r/>
    </w:p>
    <w:p>
      <w:pPr>
        <w:pStyle w:val="985"/>
        <w:ind w:left="0" w:firstLine="422"/>
        <w:jc w:val="both"/>
        <w:pageBreakBefore w:val="0"/>
        <w:spacing w:line="360" w:lineRule="auto"/>
        <w:rPr>
          <w:rFonts w:hint="eastAsia" w:ascii="宋体" w:hAnsi="宋体" w:eastAsia="宋体" w:cs="宋体"/>
          <w:color w:val="auto"/>
          <w:sz w:val="21"/>
          <w:szCs w:val="21"/>
          <w:highlight w:val="none"/>
          <w:u w:val="none"/>
          <w:lang w:val="en-US" w:eastAsia="zh-CN"/>
        </w:rPr>
        <w:outlineLvl w:val="9"/>
      </w:pPr>
      <w:r>
        <w:rPr>
          <w:rFonts w:hint="eastAsia" w:ascii="宋体" w:hAnsi="宋体" w:eastAsia="宋体" w:cs="宋体"/>
          <w:color w:val="auto"/>
          <w:sz w:val="21"/>
          <w:szCs w:val="21"/>
        </w:rPr>
        <w:t xml:space="preserve">0-1</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 岁全日制孤独症基本康复服务固定单价报价为</w:t>
      </w:r>
      <w:r>
        <w:rPr>
          <w:rFonts w:hint="eastAsia" w:ascii="宋体" w:hAnsi="宋体" w:eastAsia="宋体" w:cs="宋体"/>
          <w:color w:val="auto"/>
          <w:sz w:val="21"/>
          <w:szCs w:val="21"/>
          <w:lang w:val="en-US" w:eastAsia="zh-CN"/>
        </w:rPr>
        <w:t xml:space="preserve">80</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9</w:t>
      </w:r>
      <w:r>
        <w:rPr>
          <w:rFonts w:hint="eastAsia" w:ascii="宋体" w:hAnsi="宋体" w:eastAsia="宋体" w:cs="宋体"/>
          <w:color w:val="auto"/>
          <w:sz w:val="21"/>
          <w:szCs w:val="21"/>
        </w:rPr>
        <w:t xml:space="preserve">0 元</w:t>
      </w:r>
      <w:r>
        <w:rPr>
          <w:rFonts w:hint="eastAsia" w:ascii="宋体" w:hAnsi="宋体" w:eastAsia="宋体" w:cs="宋体"/>
          <w:color w:val="auto"/>
          <w:spacing w:val="2"/>
          <w:sz w:val="21"/>
          <w:szCs w:val="21"/>
        </w:rPr>
        <w:t xml:space="preserve">/</w:t>
      </w:r>
      <w:r>
        <w:rPr>
          <w:rFonts w:hint="eastAsia" w:ascii="宋体" w:hAnsi="宋体" w:eastAsia="宋体" w:cs="宋体"/>
          <w:color w:val="auto"/>
          <w:sz w:val="21"/>
          <w:szCs w:val="21"/>
        </w:rPr>
        <w:t xml:space="preserve">天</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4小时，不含伙食费10元</w:t>
      </w:r>
      <w:r>
        <w:rPr>
          <w:rFonts w:hint="eastAsia" w:ascii="宋体" w:hAnsi="宋体" w:eastAsia="宋体" w:cs="宋体"/>
          <w:color w:val="auto"/>
          <w:sz w:val="21"/>
          <w:szCs w:val="21"/>
          <w:lang w:eastAsia="zh-CN"/>
        </w:rPr>
        <w:t xml:space="preserve">）；</w:t>
      </w:r>
      <w:r>
        <w:rPr>
          <w:rFonts w:hint="eastAsia" w:ascii="宋体" w:hAnsi="宋体" w:eastAsia="宋体" w:cs="宋体"/>
          <w:color w:val="auto"/>
          <w:spacing w:val="2"/>
          <w:sz w:val="21"/>
          <w:szCs w:val="21"/>
          <w:lang w:val="en-US" w:eastAsia="zh-CN"/>
        </w:rPr>
        <w:t xml:space="preserve">7</w:t>
      </w: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pacing w:val="-1"/>
          <w:sz w:val="21"/>
          <w:szCs w:val="21"/>
        </w:rPr>
        <w:t xml:space="preserve">岁非全日制孤独症基本康复服务固</w:t>
      </w:r>
      <w:r>
        <w:rPr>
          <w:rFonts w:hint="eastAsia" w:ascii="宋体" w:hAnsi="宋体" w:eastAsia="宋体" w:cs="宋体"/>
          <w:color w:val="auto"/>
          <w:sz w:val="21"/>
          <w:szCs w:val="21"/>
        </w:rPr>
        <w:t xml:space="preserve">定单价报价为 7</w:t>
      </w:r>
      <w:r>
        <w:rPr>
          <w:rFonts w:hint="eastAsia" w:ascii="宋体" w:hAnsi="宋体" w:eastAsia="宋体" w:cs="宋体"/>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7 元</w:t>
      </w:r>
      <w:r>
        <w:rPr>
          <w:rFonts w:hint="eastAsia" w:ascii="宋体" w:hAnsi="宋体" w:eastAsia="宋体" w:cs="宋体"/>
          <w:color w:val="auto"/>
          <w:spacing w:val="2"/>
          <w:sz w:val="21"/>
          <w:szCs w:val="21"/>
        </w:rPr>
        <w:t xml:space="preserve">/</w:t>
      </w:r>
      <w:r>
        <w:rPr>
          <w:rFonts w:hint="eastAsia" w:ascii="宋体" w:hAnsi="宋体" w:eastAsia="宋体" w:cs="宋体"/>
          <w:color w:val="auto"/>
          <w:sz w:val="21"/>
          <w:szCs w:val="21"/>
        </w:rPr>
        <w:t xml:space="preserve">天</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1.5小时，无伙食费</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否则投标无效。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采购需求：为落实全省残疾儿童康复救助制度，完善残疾儿童基本康复服务体系建设，进一步规范残疾儿童基本康复服务，提升基本康复服务质量，</w:t>
      </w:r>
      <w:r>
        <w:rPr>
          <w:rFonts w:hint="eastAsia" w:ascii="宋体" w:hAnsi="宋体" w:eastAsia="宋体" w:cs="宋体"/>
          <w:color w:val="auto"/>
          <w:sz w:val="21"/>
          <w:szCs w:val="21"/>
          <w:highlight w:val="none"/>
          <w:lang w:val="en-US" w:eastAsia="zh-CN"/>
        </w:rPr>
        <w:t xml:space="preserve">现对2026年度残疾儿童基本康复训练服务项目进行招标，详见“第四章采购需求”</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bCs/>
          <w:color w:val="auto"/>
          <w:sz w:val="21"/>
          <w:szCs w:val="21"/>
          <w:highlight w:val="none"/>
        </w:rPr>
        <w:outlineLvl w:val="9"/>
      </w:pPr>
      <w:r>
        <w:rPr>
          <w:rFonts w:hint="eastAsia" w:ascii="宋体" w:hAnsi="宋体" w:eastAsia="宋体" w:cs="宋体"/>
          <w:b/>
          <w:bCs/>
          <w:color w:val="auto"/>
          <w:sz w:val="21"/>
          <w:szCs w:val="21"/>
          <w:highlight w:val="none"/>
        </w:rPr>
        <w:t xml:space="preserve">对项目需求、评审因素和评审标准部分的询问、质疑请与采购人联系，由采购人负责答复。</w:t>
      </w:r>
      <w:r/>
    </w:p>
    <w:p>
      <w:pPr>
        <w:ind w:firstLine="420"/>
        <w:jc w:val="both"/>
        <w:pageBreakBefore w:val="0"/>
        <w:spacing w:line="360" w:lineRule="auto"/>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、合同履行期限（服务时间）：一年(</w:t>
      </w:r>
      <w:r>
        <w:rPr>
          <w:rFonts w:hint="eastAsia" w:ascii="宋体" w:hAnsi="宋体" w:eastAsia="宋体" w:cs="宋体"/>
          <w:color w:val="auto"/>
          <w:sz w:val="21"/>
          <w:szCs w:val="21"/>
          <w:highlight w:val="none"/>
        </w:rPr>
        <w:t xml:space="preserve">合同约定日期起算</w:t>
      </w:r>
      <w:r>
        <w:rPr>
          <w:rFonts w:hint="eastAsia" w:ascii="宋体" w:hAnsi="宋体" w:eastAsia="宋体" w:cs="宋体"/>
          <w:sz w:val="21"/>
          <w:szCs w:val="21"/>
        </w:rPr>
        <w:t xml:space="preserve">)；</w:t>
      </w:r>
      <w:r/>
    </w:p>
    <w:p>
      <w:pPr>
        <w:ind w:firstLine="420"/>
        <w:jc w:val="both"/>
        <w:keepLines w:val="0"/>
        <w:keepNext w:val="0"/>
        <w:pageBreakBefore w:val="0"/>
        <w:spacing w:line="360" w:lineRule="auto"/>
        <w:widowControl w:val="off"/>
        <w:rPr>
          <w:rFonts w:hint="eastAsia" w:ascii="宋体" w:hAnsi="宋体" w:eastAsia="宋体" w:cs="宋体"/>
          <w:b w:val="0"/>
          <w:bCs w:val="0"/>
          <w:color w:val="auto"/>
          <w:sz w:val="21"/>
          <w:szCs w:val="21"/>
          <w:highlight w:val="none"/>
        </w:rPr>
        <w:outlineLvl w:val="9"/>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、本项目（是/否√）接受联合体投标。</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共分为四个标段，投标人可投标多个标段，但最多只能中1个标段。本项目按照一、二、三、四标段顺序开标、评标。如果投标人已在先开标的某个标段中被推荐为第一中标候选人，在后续标段中参与评分但不再参与</w:t>
      </w:r>
      <w:r>
        <w:rPr>
          <w:rFonts w:ascii="SimSun" w:hAnsi="SimSun" w:eastAsia="SimSun" w:cs="SimSun"/>
          <w:b/>
          <w:color w:val="000000"/>
          <w:sz w:val="21"/>
        </w:rPr>
        <w:t xml:space="preserve">第一</w:t>
      </w:r>
      <w:r>
        <w:rPr>
          <w:rFonts w:ascii="SimSun" w:hAnsi="SimSun" w:eastAsia="SimSun" w:cs="SimSun"/>
          <w:b/>
          <w:color w:val="000000"/>
          <w:sz w:val="21"/>
        </w:rPr>
        <w:t xml:space="preserve">中标候选人推荐。若第一中标候选人被异议或投诉，经查实取消中标资格，采购人有权重新招标或根据推荐的中标候选人依次确定其他候选人为中标人。</w:t>
      </w:r>
      <w:r>
        <w:rPr>
          <w:sz w:val="21"/>
        </w:rPr>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二、申请人的资格要求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满足《中华人民共和国政府采购法》第二十二条规定，并提供下列材料：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法人或者其他组织的营业执照等证明文件，自然人的身份证明；</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具有良好的商业信誉和健全的财务会计制度；</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依法缴纳税收和社会保障资金的相关材料；（根据连财购〔2023〕4号文件精神，2、3项可以提供《财务状况报告及税收、社会保障资金缴纳情况承诺函》，详见第六章投标文件格式）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具备履行合同所必需的设备和专业技术能力的声明及证明材料；</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参加政府采购活动前3年内在经营活动中没有重大违法记录的书面声明；</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（二）落实政府采购政策需满足的资格要求：</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根据省财政厅、省民政厅、省教育厅、省人力资源社会保</w:t>
      </w:r>
      <w:r>
        <w:rPr>
          <w:rFonts w:hint="eastAsia" w:ascii="宋体" w:hAnsi="宋体" w:eastAsia="宋体" w:cs="宋体"/>
          <w:sz w:val="21"/>
          <w:szCs w:val="21"/>
        </w:rPr>
        <w:t xml:space="preserve">障厅、省卫生健康委和省残联六部门联合下发的《关于印发(江苏省残疾儿童基本康复服务管理暂行办法)的通知》苏残发(2020)23号)第二章第五条“残疾儿童基本康复服务购买主体为县级以上残联。承接主体为依法成立的，具有承接残疾儿童基本康复服务能力的企业、社会组织(不含由财政拨款保障的群团组织)，公益类和从事生产经营活动的事业单位。”以上情形符合《关于转发连云港市财政局关于政府采购进一步支持中小企业发展的通知》(赣财购(2023)13号)《关于政府采购进一步支持中小企业发展的通知》(连财购(2023)39号)文件中</w:t>
      </w:r>
      <w:r>
        <w:rPr>
          <w:rFonts w:hint="eastAsia" w:ascii="宋体" w:hAnsi="宋体" w:eastAsia="宋体" w:cs="宋体"/>
          <w:b/>
          <w:bCs/>
          <w:sz w:val="21"/>
          <w:szCs w:val="21"/>
        </w:rPr>
        <w:t xml:space="preserve">可不专门面向中小企业</w:t>
      </w:r>
      <w:r>
        <w:rPr>
          <w:rFonts w:hint="eastAsia" w:ascii="宋体" w:hAnsi="宋体" w:eastAsia="宋体" w:cs="宋体"/>
          <w:sz w:val="21"/>
          <w:szCs w:val="21"/>
        </w:rPr>
        <w:t xml:space="preserve">预留采购份额第5条。</w:t>
      </w:r>
      <w:r/>
    </w:p>
    <w:p>
      <w:pPr>
        <w:ind w:firstLine="420"/>
        <w:jc w:val="both"/>
        <w:keepLines w:val="0"/>
        <w:keepNext w:val="0"/>
        <w:pageBreakBefore w:val="0"/>
        <w:spacing w:line="360" w:lineRule="auto"/>
        <w:widowControl w:val="off"/>
        <w:rPr>
          <w:rFonts w:hint="eastAsia" w:ascii="宋体" w:hAnsi="宋体" w:eastAsia="宋体" w:cs="宋体"/>
          <w:b w:val="0"/>
          <w:bCs w:val="0"/>
          <w:sz w:val="21"/>
          <w:szCs w:val="21"/>
        </w:rPr>
        <w:outlineLvl w:val="9"/>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根据《省残联等四部门关于印发&lt;江苏省残疾儿童基本康复服务实施规范(2023年版)&gt;的通知》(苏残规(2023)1号)《江苏省残疾儿童康复服务定点机构评估细则》(孤独症康复服务机构)“2.1资质要求:在相关业务主管部门注册具有独立法人资格，包括事业单位法人资质的医疗机构、教育机构、残疾人康复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企业法人资质的服务机构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民办非企业单位法人资质的社会服务机构。业务范围包括孤独症儿童康复训练服务相关内容。从事教育康复应有所属地教育行政部门颁发的办学许可证或有当地特殊教育指导中心确定的公办学校合作开展康教融合服务的协议。</w:t>
      </w:r>
      <w:r>
        <w:rPr>
          <w:rFonts w:hint="eastAsia" w:ascii="宋体" w:hAnsi="宋体" w:eastAsia="宋体" w:cs="宋体"/>
          <w:b w:val="0"/>
          <w:bCs w:val="0"/>
          <w:sz w:val="21"/>
          <w:szCs w:val="21"/>
        </w:rPr>
        <w:t xml:space="preserve">从事医疗康复应取得《医疗机构执业许可证》或《诊所备案证》”要求</w:t>
      </w:r>
      <w:r>
        <w:rPr>
          <w:rFonts w:hint="eastAsia" w:ascii="宋体" w:hAnsi="宋体" w:eastAsia="宋体" w:cs="宋体"/>
          <w:b/>
          <w:bCs/>
          <w:sz w:val="21"/>
          <w:szCs w:val="21"/>
        </w:rPr>
        <w:t xml:space="preserve">可不专门面向中小企业</w:t>
      </w:r>
      <w:r>
        <w:rPr>
          <w:rFonts w:hint="eastAsia" w:ascii="宋体" w:hAnsi="宋体" w:eastAsia="宋体" w:cs="宋体"/>
          <w:b w:val="0"/>
          <w:bCs w:val="0"/>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（三）本项目的特定资格要求：</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竣工后应取得</w:t>
      </w:r>
      <w:r>
        <w:rPr>
          <w:rFonts w:hint="eastAsia" w:ascii="宋体" w:hAnsi="宋体" w:eastAsia="宋体" w:cs="宋体"/>
          <w:b/>
          <w:bCs/>
          <w:color w:val="auto"/>
          <w:sz w:val="21"/>
          <w:szCs w:val="21"/>
          <w:highlight w:val="none"/>
          <w:lang w:eastAsia="zh-CN"/>
        </w:rPr>
        <w:t xml:space="preserve">建设工程消防验收合格意见书</w:t>
      </w:r>
      <w:r>
        <w:rPr>
          <w:rFonts w:hint="eastAsia" w:ascii="宋体" w:hAnsi="宋体" w:eastAsia="宋体" w:cs="宋体"/>
          <w:color w:val="auto"/>
          <w:sz w:val="21"/>
          <w:szCs w:val="21"/>
          <w:highlight w:val="none"/>
          <w:lang w:eastAsia="zh-CN"/>
        </w:rPr>
        <w:t xml:space="preserve">；儿童室内活动场所总建筑面积1000平方米以下的机构，应在建设工程竣工验收合格之日起五个工作日内，向消防设计审查验收主管部门备案，并取得</w:t>
      </w:r>
      <w:r>
        <w:rPr>
          <w:rFonts w:hint="eastAsia" w:ascii="宋体" w:hAnsi="宋体" w:eastAsia="宋体" w:cs="宋体"/>
          <w:b/>
          <w:bCs/>
          <w:color w:val="auto"/>
          <w:sz w:val="21"/>
          <w:szCs w:val="21"/>
          <w:highlight w:val="none"/>
          <w:lang w:eastAsia="zh-CN"/>
        </w:rPr>
        <w:t xml:space="preserve">备案合格凭证</w:t>
      </w:r>
      <w:r>
        <w:rPr>
          <w:rFonts w:hint="eastAsia" w:ascii="宋体" w:hAnsi="宋体" w:eastAsia="宋体" w:cs="宋体"/>
          <w:color w:val="auto"/>
          <w:sz w:val="21"/>
          <w:szCs w:val="21"/>
          <w:highlight w:val="none"/>
          <w:lang w:eastAsia="zh-CN"/>
        </w:rPr>
        <w:t xml:space="preserve">。</w:t>
      </w:r>
      <w:r/>
    </w:p>
    <w:p>
      <w:p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注：提供的资料不合格或未提供作无效投标处理。如属于投标供应商自有产权，证明资料须与投标供应商名称一致；如属于租用场所，须出具供应商该场所的租赁合同、</w:t>
      </w:r>
      <w:r>
        <w:rPr>
          <w:rFonts w:hint="eastAsia" w:ascii="宋体" w:hAnsi="宋体" w:eastAsia="宋体" w:cs="宋体"/>
          <w:color w:val="auto"/>
          <w:sz w:val="21"/>
          <w:szCs w:val="21"/>
          <w:highlight w:val="none"/>
          <w:lang w:val="en-US" w:eastAsia="zh-CN"/>
        </w:rPr>
        <w:t xml:space="preserve">2025年房租租赁的相关缴费证明</w:t>
      </w:r>
      <w:r>
        <w:rPr>
          <w:rFonts w:hint="eastAsia" w:ascii="宋体" w:hAnsi="宋体" w:eastAsia="宋体" w:cs="宋体"/>
          <w:color w:val="auto"/>
          <w:sz w:val="21"/>
          <w:szCs w:val="21"/>
          <w:highlight w:val="none"/>
          <w:lang w:eastAsia="zh-CN"/>
        </w:rPr>
        <w:t xml:space="preserve">及取得的该场所上述合格证明材料（含消防合格证明资料）。</w:t>
      </w:r>
      <w:r/>
    </w:p>
    <w:p>
      <w:pPr>
        <w:numPr>
          <w:ilvl w:val="0"/>
          <w:numId w:val="1"/>
        </w:numPr>
        <w:ind w:firstLine="480"/>
        <w:spacing w:line="360" w:lineRule="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 xml:space="preserve">供应商具有</w:t>
      </w:r>
      <w:r>
        <w:rPr>
          <w:rFonts w:hint="eastAsia" w:ascii="宋体" w:hAnsi="宋体" w:eastAsia="宋体" w:cs="宋体"/>
          <w:b/>
          <w:bCs/>
          <w:color w:val="auto"/>
          <w:sz w:val="21"/>
          <w:szCs w:val="21"/>
          <w:highlight w:val="none"/>
          <w:lang w:eastAsia="zh-CN"/>
        </w:rPr>
        <w:t xml:space="preserve">办学许可证或当地特殊教育指导中心确定的公办学校合作开展康教融合服务的协议，从事医疗康复应取得《医疗机构执业许可证》或《诊所备案证》。（</w:t>
      </w:r>
      <w:r>
        <w:rPr>
          <w:rFonts w:hint="default" w:ascii="宋体" w:hAnsi="宋体" w:eastAsia="宋体" w:cs="宋体"/>
          <w:b/>
          <w:bCs/>
          <w:color w:val="auto"/>
          <w:sz w:val="21"/>
          <w:szCs w:val="21"/>
          <w:highlight w:val="none"/>
          <w:lang w:val="en-US" w:eastAsia="zh-CN"/>
        </w:rPr>
        <w:t xml:space="preserve">满足上述任一条件即可，投标文件中提供相关证书或服务协议扫描件并加盖投标人公章，否则投标无效）</w:t>
      </w:r>
      <w:r/>
    </w:p>
    <w:p>
      <w:pPr>
        <w:pStyle w:val="991"/>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3.投标文件递交截止前，被信用中国、中国政府采购网列入失信被执行人、重大税收违法案件当事人名单、政府采购严重违法失信行为记录名单的供应商，拒绝其参与政府采购活动。</w:t>
      </w:r>
      <w:r/>
    </w:p>
    <w:p>
      <w:pPr>
        <w:pStyle w:val="991"/>
        <w:ind w:firstLine="48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备注：采购人或采购代理机构通过信用中国网站（www.creditchina.gov.cn）、中国政府采购网（www.ccgp.gov.cn），对供应商信用记录情况进行查询，查询结果页面打印留存。</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供应商/投标主体及其法定代表人、项目负责人未被列入“连云港市赣榆区行贿人联合惩戒信息库。”</w:t>
      </w:r>
      <w:r/>
    </w:p>
    <w:p>
      <w:pPr>
        <w:numPr>
          <w:ilvl w:val="0"/>
          <w:numId w:val="0"/>
        </w:numPr>
        <w:ind w:firstLine="420"/>
        <w:jc w:val="both"/>
        <w:pageBreakBefore w:val="0"/>
        <w:spacing w:line="360" w:lineRule="auto"/>
        <w:widowControl w:val="off"/>
        <w:rPr>
          <w:rFonts w:hint="eastAsia" w:ascii="宋体" w:hAnsi="宋体" w:eastAsia="宋体" w:cs="宋体"/>
          <w:color w:val="auto"/>
          <w:sz w:val="21"/>
          <w:szCs w:val="21"/>
          <w:highlight w:val="none"/>
          <w:lang w:eastAsia="zh-CN"/>
        </w:rPr>
        <w:outlineLvl w:val="9"/>
      </w:pPr>
      <w:r>
        <w:rPr>
          <w:rFonts w:hint="eastAsia" w:ascii="宋体" w:hAnsi="宋体" w:eastAsia="宋体" w:cs="宋体"/>
          <w:color w:val="auto"/>
          <w:sz w:val="21"/>
          <w:szCs w:val="21"/>
          <w:highlight w:val="none"/>
          <w:lang w:eastAsia="zh-CN"/>
        </w:rPr>
        <w:t xml:space="preserve">备注：采购人/招标人和区公共资源交易中心通过赣榆区行贿人联合惩戒信息库，对供应商/投标主体情况进行内部查询，查询结果页面打印留存。</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三、获取招标文件</w:t>
      </w:r>
      <w:r/>
    </w:p>
    <w:p>
      <w:pPr>
        <w:ind w:firstLine="420"/>
        <w:jc w:val="both"/>
        <w:keepLines w:val="0"/>
        <w:keepNext w:val="0"/>
        <w:pageBreakBefore w:val="0"/>
        <w:spacing w:line="360" w:lineRule="auto"/>
        <w:widowControl w:val="off"/>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时间：</w:t>
      </w:r>
      <w:r>
        <w:rPr>
          <w:rFonts w:hint="eastAsia" w:ascii="宋体" w:hAnsi="宋体" w:eastAsia="宋体" w:cs="宋体"/>
          <w:sz w:val="21"/>
          <w:szCs w:val="21"/>
          <w:lang w:val="en-US" w:eastAsia="zh-CN"/>
        </w:rPr>
        <w:t xml:space="preserve">自招标文件公告发布之日起5个工作日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地点：江苏政府采购网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方式：投标人办理江苏省政府采购交易系统CA数字证书，登录“苏采云”政府采购交易系统，自行下载。</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售价：0.00元</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四、提交投标文件截止时间、开标时间和地点</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提交投标文件截止时间：</w:t>
      </w:r>
      <w:r>
        <w:rPr>
          <w:rFonts w:hint="eastAsia" w:ascii="宋体" w:hAnsi="宋体" w:eastAsia="宋体" w:cs="宋体"/>
          <w:color w:val="ff0000"/>
          <w:sz w:val="21"/>
          <w:szCs w:val="21"/>
          <w:highlight w:val="none"/>
        </w:rPr>
        <w:t xml:space="preserve">202</w:t>
      </w:r>
      <w:r>
        <w:rPr>
          <w:rFonts w:hint="eastAsia" w:ascii="宋体" w:hAnsi="宋体" w:eastAsia="宋体" w:cs="宋体"/>
          <w:color w:val="ff0000"/>
          <w:sz w:val="21"/>
          <w:szCs w:val="21"/>
          <w:highlight w:val="none"/>
          <w:lang w:val="en-US" w:eastAsia="zh-CN"/>
        </w:rPr>
        <w:t xml:space="preserve">6</w:t>
      </w:r>
      <w:r>
        <w:rPr>
          <w:rFonts w:hint="eastAsia" w:ascii="宋体" w:hAnsi="宋体" w:eastAsia="宋体" w:cs="宋体"/>
          <w:color w:val="ff0000"/>
          <w:sz w:val="21"/>
          <w:szCs w:val="21"/>
          <w:highlight w:val="none"/>
        </w:rPr>
        <w:t xml:space="preserve">年</w:t>
      </w:r>
      <w:r>
        <w:rPr>
          <w:rFonts w:hint="eastAsia" w:ascii="宋体" w:hAnsi="宋体" w:eastAsia="宋体" w:cs="宋体"/>
          <w:color w:val="ff0000"/>
          <w:sz w:val="21"/>
          <w:szCs w:val="21"/>
          <w:highlight w:val="none"/>
          <w:lang w:val="en-US" w:eastAsia="zh-CN"/>
        </w:rPr>
        <w:t xml:space="preserve">01</w:t>
      </w:r>
      <w:r>
        <w:rPr>
          <w:rFonts w:hint="eastAsia" w:ascii="宋体" w:hAnsi="宋体" w:eastAsia="宋体" w:cs="宋体"/>
          <w:color w:val="ff0000"/>
          <w:sz w:val="21"/>
          <w:szCs w:val="21"/>
          <w:highlight w:val="none"/>
        </w:rPr>
        <w:t xml:space="preserve">月16</w:t>
      </w:r>
      <w:r>
        <w:rPr>
          <w:rFonts w:hint="eastAsia" w:ascii="宋体" w:hAnsi="宋体" w:eastAsia="宋体" w:cs="宋体"/>
          <w:color w:val="ff0000"/>
          <w:sz w:val="21"/>
          <w:szCs w:val="21"/>
          <w:highlight w:val="none"/>
        </w:rPr>
        <w:t xml:space="preserve">日9:00:00</w:t>
      </w:r>
      <w:r>
        <w:rPr>
          <w:rFonts w:hint="eastAsia" w:ascii="宋体" w:hAnsi="宋体" w:eastAsia="宋体" w:cs="宋体"/>
          <w:sz w:val="21"/>
          <w:szCs w:val="21"/>
        </w:rPr>
        <w:t xml:space="preserve">（北京时间）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开标时间：提交投标文件截止时间</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开标地点：“苏采云”系统（网址：http://jszfcg.jsczt.cn/）</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五、公告期限</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自本公告发布之日起5个工作日。</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六、其他补充事宜</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1.本次招标不收取投标保证金。</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2.本招标文件中</w:t>
      </w:r>
      <w:r>
        <w:rPr>
          <w:rFonts w:hint="eastAsia" w:ascii="宋体" w:hAnsi="宋体" w:eastAsia="宋体" w:cs="宋体"/>
          <w:color w:val="auto"/>
          <w:sz w:val="21"/>
          <w:szCs w:val="21"/>
          <w:highlight w:val="none"/>
        </w:rPr>
        <w:t xml:space="preserve">标注★</w:t>
      </w:r>
      <w:r>
        <w:rPr>
          <w:rFonts w:hint="eastAsia" w:ascii="宋体" w:hAnsi="宋体" w:eastAsia="宋体" w:cs="宋体"/>
          <w:sz w:val="21"/>
          <w:szCs w:val="21"/>
        </w:rPr>
        <w:t xml:space="preserve">部分为实质性要求和条件，由采购人根据实际情况设置，投标人须逐条明确作出满足实质性要求和条件的响应，否则将按无效响应处理。</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http://www.ccgp-jiangsu.gov.cn/jiangsu/zlxz/ee/ee3a4bc5a3454aa2b0d9312230633ce9.html</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七、对本次招标提出询问，请按以下方式联系</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1.采购人信息</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名    称：连云港市赣榆区残疾人联合会</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rPr>
        <w:outlineLvl w:val="9"/>
      </w:pPr>
      <w:r>
        <w:rPr>
          <w:rFonts w:hint="eastAsia" w:ascii="宋体" w:hAnsi="宋体" w:eastAsia="宋体" w:cs="宋体"/>
          <w:color w:val="auto"/>
          <w:sz w:val="21"/>
          <w:szCs w:val="21"/>
        </w:rPr>
        <w:t xml:space="preserve">地    址：连云港市赣榆区青口镇文化西路14号</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 系 人：</w:t>
      </w:r>
      <w:r>
        <w:rPr>
          <w:rFonts w:hint="eastAsia" w:ascii="宋体" w:hAnsi="宋体" w:eastAsia="宋体" w:cs="宋体"/>
          <w:color w:val="auto"/>
          <w:sz w:val="21"/>
          <w:szCs w:val="21"/>
          <w:lang w:val="en-US" w:eastAsia="zh-CN"/>
        </w:rPr>
        <w:t xml:space="preserve">丁科</w:t>
      </w:r>
      <w:r/>
    </w:p>
    <w:p>
      <w:pPr>
        <w:ind w:firstLine="420"/>
        <w:jc w:val="both"/>
        <w:keepLines w:val="0"/>
        <w:keepNext w:val="0"/>
        <w:pageBreakBefore w:val="0"/>
        <w:spacing w:line="360" w:lineRule="auto"/>
        <w:widowControl w:val="off"/>
        <w:rPr>
          <w:rFonts w:hint="default" w:ascii="宋体" w:hAnsi="宋体" w:eastAsia="宋体" w:cs="宋体"/>
          <w:color w:val="auto"/>
          <w:sz w:val="21"/>
          <w:szCs w:val="21"/>
          <w:lang w:val="en-US" w:eastAsia="zh-CN"/>
        </w:rPr>
        <w:outlineLvl w:val="9"/>
      </w:pPr>
      <w:r>
        <w:rPr>
          <w:rFonts w:hint="eastAsia" w:ascii="宋体" w:hAnsi="宋体" w:eastAsia="宋体" w:cs="宋体"/>
          <w:color w:val="auto"/>
          <w:sz w:val="21"/>
          <w:szCs w:val="21"/>
        </w:rPr>
        <w:t xml:space="preserve">联系电话：</w:t>
      </w:r>
      <w:r>
        <w:rPr>
          <w:rFonts w:hint="eastAsia" w:ascii="宋体" w:hAnsi="宋体" w:eastAsia="宋体" w:cs="宋体"/>
          <w:color w:val="auto"/>
          <w:sz w:val="21"/>
          <w:szCs w:val="21"/>
          <w:lang w:val="en-US" w:eastAsia="zh-CN"/>
        </w:rPr>
        <w:t xml:space="preserve">80638326</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2.采购代理机构信息</w:t>
      </w:r>
      <w:r/>
    </w:p>
    <w:p>
      <w:pPr>
        <w:ind w:firstLine="420"/>
        <w:jc w:val="both"/>
        <w:pageBreakBefore w:val="0"/>
        <w:spacing w:line="360" w:lineRule="auto"/>
        <w:rPr>
          <w:rFonts w:hint="eastAsia" w:asciiTheme="minorEastAsia" w:hAnsiTheme="minorEastAsia" w:eastAsiaTheme="minorEastAsia" w:cstheme="minorEastAsia"/>
          <w:szCs w:val="21"/>
          <w:lang w:eastAsia="zh-CN"/>
        </w:rPr>
      </w:pPr>
      <w:r/>
      <w:bookmarkStart w:id="1" w:name="_Toc155796357"/>
      <w:r>
        <w:rPr>
          <w:rFonts w:hint="eastAsia" w:asciiTheme="minorEastAsia" w:hAnsiTheme="minorEastAsia" w:eastAsiaTheme="minorEastAsia" w:cstheme="minorEastAsia"/>
          <w:szCs w:val="21"/>
        </w:rPr>
        <w:t xml:space="preserve">名  称：</w:t>
      </w:r>
      <w:r>
        <w:rPr>
          <w:rFonts w:hint="eastAsia" w:asciiTheme="minorEastAsia" w:hAnsiTheme="minorEastAsia" w:eastAsiaTheme="minorEastAsia" w:cstheme="minorEastAsia"/>
          <w:szCs w:val="21"/>
          <w:lang w:eastAsia="zh-CN"/>
        </w:rPr>
        <w:t xml:space="preserve">江苏德益臻项目管理有限公司</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地　址：连云港市赣榆区青口镇时代东路时代大</w:t>
      </w:r>
      <w:r>
        <w:rPr>
          <w:rFonts w:hint="eastAsia" w:ascii="宋体" w:hAnsi="宋体" w:eastAsia="宋体" w:cs="宋体"/>
          <w:sz w:val="21"/>
          <w:szCs w:val="21"/>
          <w:lang w:val="en-US" w:eastAsia="zh-CN"/>
        </w:rPr>
        <w:t xml:space="preserve">厦6楼</w:t>
      </w:r>
      <w:r/>
    </w:p>
    <w:p>
      <w:pPr>
        <w:ind w:firstLine="420"/>
        <w:jc w:val="both"/>
        <w:pageBreakBefore w:val="0"/>
        <w:spacing w:line="360" w:lineRule="auto"/>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联系人：</w:t>
      </w:r>
      <w:r>
        <w:rPr>
          <w:rFonts w:hint="eastAsia" w:asciiTheme="minorEastAsia" w:hAnsiTheme="minorEastAsia" w:eastAsiaTheme="minorEastAsia" w:cstheme="minorEastAsia"/>
          <w:szCs w:val="21"/>
          <w:lang w:val="en-US" w:eastAsia="zh-CN"/>
        </w:rPr>
        <w:t xml:space="preserve">祁</w:t>
      </w:r>
      <w:r>
        <w:rPr>
          <w:rFonts w:hint="eastAsia" w:asciiTheme="minorEastAsia" w:hAnsiTheme="minorEastAsia" w:eastAsiaTheme="minorEastAsia" w:cstheme="minorEastAsia"/>
          <w:szCs w:val="21"/>
        </w:rPr>
        <w:t xml:space="preserve">工 </w:t>
      </w:r>
      <w:r/>
    </w:p>
    <w:p>
      <w:pPr>
        <w:ind w:firstLine="420"/>
        <w:jc w:val="both"/>
        <w:pageBreakBefore w:val="0"/>
        <w:spacing w:line="360" w:lineRule="auto"/>
        <w:rPr>
          <w:rFonts w:hint="default" w:asciiTheme="minorEastAsia" w:hAnsiTheme="minorEastAsia" w:eastAsiaTheme="minorEastAsia" w:cstheme="minorEastAsia"/>
          <w:szCs w:val="21"/>
          <w:lang w:val="en-US" w:eastAsia="zh-CN"/>
        </w:rPr>
      </w:pPr>
      <w:r>
        <w:rPr>
          <w:rFonts w:hint="eastAsia" w:asciiTheme="minorEastAsia" w:hAnsiTheme="minorEastAsia" w:eastAsiaTheme="minorEastAsia" w:cstheme="minorEastAsia"/>
          <w:szCs w:val="21"/>
        </w:rPr>
        <w:t xml:space="preserve">联系方</w:t>
      </w:r>
      <w:r>
        <w:rPr>
          <w:rFonts w:hint="eastAsia" w:ascii="宋体" w:hAnsi="宋体" w:eastAsia="宋体" w:cs="宋体"/>
          <w:sz w:val="21"/>
          <w:szCs w:val="21"/>
        </w:rPr>
        <w:t xml:space="preserve">式：18</w:t>
      </w:r>
      <w:r>
        <w:rPr>
          <w:rFonts w:hint="eastAsia" w:ascii="宋体" w:hAnsi="宋体" w:eastAsia="宋体" w:cs="宋体"/>
          <w:sz w:val="21"/>
          <w:szCs w:val="21"/>
          <w:lang w:val="en-US" w:eastAsia="zh-CN"/>
        </w:rPr>
        <w:t xml:space="preserve">862748877</w:t>
      </w:r>
      <w:r/>
    </w:p>
    <w:p>
      <w:pPr>
        <w:ind w:firstLine="422"/>
        <w:jc w:val="both"/>
        <w:pageBreakBefore w:val="0"/>
        <w:spacing w:line="360" w:lineRule="auto"/>
        <w:widowControl/>
        <w:rPr>
          <w:rFonts w:hint="eastAsia" w:ascii="宋体" w:hAnsi="宋体" w:eastAsia="宋体" w:cs="宋体"/>
          <w:bCs/>
          <w:sz w:val="21"/>
          <w:szCs w:val="21"/>
        </w:rPr>
        <w:outlineLvl w:val="9"/>
      </w:pPr>
      <w:r>
        <w:rPr>
          <w:rFonts w:hint="eastAsia" w:ascii="宋体" w:hAnsi="宋体" w:eastAsia="宋体" w:cs="宋体"/>
          <w:b/>
          <w:sz w:val="21"/>
          <w:szCs w:val="21"/>
        </w:rPr>
        <w:br w:type="page" w:clear="all"/>
      </w:r>
      <w:r/>
    </w:p>
    <w:p>
      <w:pPr>
        <w:pStyle w:val="767"/>
        <w:jc w:val="center"/>
        <w:spacing w:before="156" w:after="156" w:line="360" w:lineRule="auto"/>
        <w:rPr>
          <w:rFonts w:hint="eastAsia" w:ascii="宋体" w:hAnsi="宋体" w:eastAsia="宋体" w:cs="宋体"/>
          <w:b w:val="0"/>
        </w:rPr>
      </w:pPr>
      <w:r>
        <w:rPr>
          <w:rFonts w:hint="eastAsia" w:ascii="宋体" w:hAnsi="宋体" w:eastAsia="宋体" w:cs="宋体"/>
          <w:b w:val="0"/>
          <w:sz w:val="30"/>
          <w:szCs w:val="30"/>
        </w:rPr>
        <w:t xml:space="preserve">第二章  投标人须知</w:t>
      </w:r>
      <w:bookmarkEnd w:id="1"/>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一、总则</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1、采购方式</w:t>
      </w:r>
      <w:r/>
    </w:p>
    <w:p>
      <w:pPr>
        <w:ind w:firstLine="420"/>
        <w:jc w:val="both"/>
        <w:keepLines w:val="0"/>
        <w:keepNext w:val="0"/>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 本次招标采取公开招标方式，本招标文件仅适用于招标公告中所述项目。</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2、合格的投标人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 满足招标公告中申请人的资格要求的规定。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 满足本招标文件全部实质性要求和条件的规定。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 符合上述条件的投标人应承担投标及履约过程应承担的全部责任与义务。</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3、适用法律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 本次招标及由此产生的合同受中华人民共和国有关的法律法规制约和保护。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4.1 投标人应自行承担所有与参加投标有关的费用，无论投标过程中的做法和结果如何，</w:t>
      </w:r>
      <w:r>
        <w:rPr>
          <w:rFonts w:hint="eastAsia" w:ascii="宋体" w:hAnsi="宋体" w:eastAsia="宋体" w:cs="宋体"/>
          <w:sz w:val="21"/>
          <w:szCs w:val="21"/>
          <w:lang w:eastAsia="zh-CN"/>
        </w:rPr>
        <w:t xml:space="preserve">江苏德益臻项目管理有限公司</w:t>
      </w:r>
      <w:r>
        <w:rPr>
          <w:rFonts w:hint="eastAsia" w:ascii="宋体" w:hAnsi="宋体" w:eastAsia="宋体" w:cs="宋体"/>
          <w:sz w:val="21"/>
          <w:szCs w:val="21"/>
        </w:rPr>
        <w:t xml:space="preserve">（以下简称采购代理机构）在任何情况下均无义务和责任承担这些费用。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4.2本次招标采购代理服务费：</w:t>
      </w:r>
      <w:r>
        <w:rPr>
          <w:rFonts w:hint="eastAsia" w:ascii="宋体" w:hAnsi="宋体" w:eastAsia="宋体" w:cs="宋体"/>
          <w:b/>
          <w:bCs/>
          <w:sz w:val="21"/>
          <w:szCs w:val="21"/>
          <w:lang w:val="en-US" w:eastAsia="zh-CN"/>
        </w:rPr>
        <w:t xml:space="preserve">每标段</w:t>
      </w:r>
      <w:r>
        <w:rPr>
          <w:rFonts w:hint="eastAsia" w:ascii="宋体" w:hAnsi="宋体" w:eastAsia="宋体" w:cs="宋体"/>
          <w:b/>
          <w:bCs/>
          <w:sz w:val="21"/>
          <w:szCs w:val="21"/>
        </w:rPr>
        <w:t xml:space="preserve">按照苏政采协【2024】20号</w:t>
      </w:r>
      <w:r>
        <w:rPr>
          <w:rFonts w:hint="eastAsia" w:ascii="宋体" w:hAnsi="宋体" w:eastAsia="宋体" w:cs="宋体"/>
          <w:b/>
          <w:bCs/>
          <w:sz w:val="21"/>
          <w:szCs w:val="21"/>
          <w:lang w:val="en-US" w:eastAsia="zh-CN"/>
        </w:rPr>
        <w:t xml:space="preserve">文</w:t>
      </w:r>
      <w:r>
        <w:rPr>
          <w:rFonts w:hint="eastAsia" w:ascii="宋体" w:hAnsi="宋体" w:eastAsia="宋体" w:cs="宋体"/>
          <w:b/>
          <w:bCs/>
          <w:sz w:val="21"/>
          <w:szCs w:val="21"/>
        </w:rPr>
        <w:t xml:space="preserve">关于印发《江苏省政府采购代理服务收费指导意见》的通知</w:t>
      </w:r>
      <w:r>
        <w:rPr>
          <w:rFonts w:hint="eastAsia" w:ascii="宋体" w:hAnsi="宋体" w:eastAsia="宋体" w:cs="宋体"/>
          <w:b/>
          <w:bCs/>
          <w:sz w:val="21"/>
          <w:szCs w:val="21"/>
          <w:lang w:val="en-US" w:eastAsia="zh-CN"/>
        </w:rPr>
        <w:t xml:space="preserve">收费</w:t>
      </w:r>
      <w:r>
        <w:rPr>
          <w:rFonts w:hint="eastAsia" w:ascii="宋体" w:hAnsi="宋体" w:eastAsia="宋体" w:cs="宋体"/>
          <w:b/>
          <w:bCs/>
          <w:sz w:val="21"/>
          <w:szCs w:val="21"/>
        </w:rPr>
        <w:t xml:space="preserve">标准</w:t>
      </w:r>
      <w:r>
        <w:rPr>
          <w:rFonts w:hint="eastAsia" w:ascii="宋体" w:hAnsi="宋体" w:eastAsia="宋体" w:cs="宋体"/>
          <w:b/>
          <w:bCs/>
          <w:sz w:val="21"/>
          <w:szCs w:val="21"/>
          <w:lang w:val="en-US" w:eastAsia="zh-CN"/>
        </w:rPr>
        <w:t xml:space="preserve">的40%</w:t>
      </w:r>
      <w:r>
        <w:rPr>
          <w:rFonts w:hint="eastAsia" w:ascii="宋体" w:hAnsi="宋体" w:eastAsia="宋体" w:cs="宋体"/>
          <w:b/>
          <w:bCs/>
          <w:sz w:val="21"/>
          <w:szCs w:val="21"/>
        </w:rPr>
        <w:t xml:space="preserve">计取；</w:t>
      </w:r>
      <w:r>
        <w:rPr>
          <w:rFonts w:hint="eastAsia" w:ascii="宋体" w:hAnsi="宋体" w:eastAsia="宋体" w:cs="宋体"/>
          <w:sz w:val="21"/>
          <w:szCs w:val="21"/>
        </w:rPr>
        <w:t xml:space="preserve">以上费用最终由中标人在领取中标通知书时一次性支付，投标人须将此部分费用综合考虑在报价中，不得单列。</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5、招标文件的约束力</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5.1 投标人一旦参与本项目采购活动，即被认为接受了本招标文件的规定和约束。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二、招标文件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6、招标文件的构成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6.1 招标文件由以下部分构成：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（1）投标邀请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（2）投标人须知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（3）合同文本</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（4）采购需求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（5）评标方法与评标标准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（6）投标文件格式</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请仔细检查招标文件是否齐全，如有缺漏请立即与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联系解决。</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7、招标文件的澄清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7.1任何要求对招标文件进行澄清的投标人，应在投标截止时间十日前按招标公告中的通讯地址，以书面形式通知采购人或者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8、招标文件的修改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8.1 在投标截止时间前，采购人和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可以对招标文件进行修改。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有权按照法定的要求推迟投标截止时间和开标时间。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三、投标文件编制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9、投标文件编写注意事项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10、投标文件的语言及度量衡单位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10.1 除专用术语外，投标人提交的投标文件以及投标人与采购人和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10.2 除技术性能另有规定外，投标文件所使用的度量衡单位，均须采用国家法定计量单位。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11、投标文件的构成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p>
    <w:p>
      <w:pPr>
        <w:ind w:firstLine="420"/>
        <w:jc w:val="both"/>
        <w:pageBreakBefore w:val="0"/>
        <w:spacing w:line="360" w:lineRule="auto"/>
        <w:widowControl w:val="off"/>
        <w:rPr>
          <w:rFonts w:hint="eastAsia" w:asciiTheme="minorEastAsia" w:hAnsiTheme="minorEastAsia" w:eastAsiaTheme="minorEastAsia" w:cstheme="minorEastAsia"/>
          <w:b/>
          <w:bCs/>
          <w:color w:val="ff0000"/>
          <w:szCs w:val="21"/>
        </w:rPr>
        <w:outlineLvl w:val="9"/>
      </w:pPr>
      <w:r>
        <w:rPr>
          <w:rFonts w:hint="eastAsia" w:ascii="宋体" w:hAnsi="宋体" w:eastAsia="宋体" w:cs="宋体"/>
          <w:sz w:val="21"/>
          <w:szCs w:val="21"/>
        </w:rPr>
        <w:t xml:space="preserve">11.2 </w:t>
      </w:r>
      <w:r>
        <w:rPr>
          <w:rFonts w:hint="eastAsia" w:asciiTheme="minorEastAsia" w:hAnsiTheme="minorEastAsia" w:cstheme="minorEastAsia"/>
          <w:b/>
          <w:bCs/>
          <w:color w:val="ff0000"/>
          <w:szCs w:val="21"/>
          <w:lang w:val="en-US" w:eastAsia="zh-CN"/>
        </w:rPr>
        <w:t xml:space="preserve">投标人</w:t>
      </w:r>
      <w:r>
        <w:rPr>
          <w:rFonts w:hint="eastAsia" w:asciiTheme="minorEastAsia" w:hAnsiTheme="minorEastAsia" w:eastAsiaTheme="minorEastAsia" w:cstheme="minorEastAsia"/>
          <w:b/>
          <w:bCs/>
          <w:color w:val="ff0000"/>
          <w:szCs w:val="21"/>
        </w:rPr>
        <w:t xml:space="preserve">制作</w:t>
      </w:r>
      <w:r>
        <w:rPr>
          <w:rFonts w:hint="eastAsia" w:asciiTheme="minorEastAsia" w:hAnsiTheme="minorEastAsia" w:eastAsiaTheme="minorEastAsia" w:cstheme="minorEastAsia"/>
          <w:b/>
          <w:bCs/>
          <w:color w:val="ff0000"/>
          <w:szCs w:val="21"/>
          <w:lang w:val="en-US" w:eastAsia="zh-CN"/>
        </w:rPr>
        <w:t xml:space="preserve">响应</w:t>
      </w:r>
      <w:r>
        <w:rPr>
          <w:rFonts w:hint="eastAsia" w:asciiTheme="minorEastAsia" w:hAnsiTheme="minorEastAsia" w:eastAsiaTheme="minorEastAsia" w:cstheme="minorEastAsia"/>
          <w:b/>
          <w:bCs/>
          <w:color w:val="ff0000"/>
          <w:szCs w:val="21"/>
        </w:rPr>
        <w:t xml:space="preserve">文件时如遇</w:t>
      </w:r>
      <w:r>
        <w:rPr>
          <w:rFonts w:hint="eastAsia" w:asciiTheme="minorEastAsia" w:hAnsiTheme="minorEastAsia" w:eastAsiaTheme="minorEastAsia" w:cstheme="minorEastAsia"/>
          <w:b/>
          <w:bCs/>
          <w:color w:val="ff0000"/>
          <w:szCs w:val="21"/>
          <w:lang w:val="en-US" w:eastAsia="zh-CN"/>
        </w:rPr>
        <w:t xml:space="preserve">电子投标（响应）文件</w:t>
      </w:r>
      <w:r>
        <w:rPr>
          <w:rFonts w:hint="eastAsia" w:asciiTheme="minorEastAsia" w:hAnsiTheme="minorEastAsia" w:eastAsiaTheme="minorEastAsia" w:cstheme="minorEastAsia"/>
          <w:b/>
          <w:bCs/>
          <w:color w:val="ff0000"/>
          <w:szCs w:val="21"/>
        </w:rPr>
        <w:t xml:space="preserve">格式与</w:t>
      </w:r>
      <w:r>
        <w:rPr>
          <w:rFonts w:hint="eastAsia" w:asciiTheme="minorEastAsia" w:hAnsiTheme="minorEastAsia" w:eastAsiaTheme="minorEastAsia" w:cstheme="minorEastAsia"/>
          <w:b/>
          <w:bCs/>
          <w:color w:val="ff0000"/>
          <w:szCs w:val="21"/>
          <w:lang w:val="en-US" w:eastAsia="zh-CN"/>
        </w:rPr>
        <w:t xml:space="preserve">采购</w:t>
      </w:r>
      <w:r>
        <w:rPr>
          <w:rFonts w:hint="eastAsia" w:asciiTheme="minorEastAsia" w:hAnsiTheme="minorEastAsia" w:eastAsiaTheme="minorEastAsia" w:cstheme="minorEastAsia"/>
          <w:b/>
          <w:bCs/>
          <w:color w:val="ff0000"/>
          <w:szCs w:val="21"/>
        </w:rPr>
        <w:t xml:space="preserve">文件不一致，请</w:t>
      </w:r>
      <w:r>
        <w:rPr>
          <w:rFonts w:hint="eastAsia" w:asciiTheme="minorEastAsia" w:hAnsiTheme="minorEastAsia" w:cstheme="minorEastAsia"/>
          <w:b/>
          <w:bCs/>
          <w:color w:val="ff0000"/>
          <w:szCs w:val="21"/>
          <w:lang w:val="en-US" w:eastAsia="zh-CN"/>
        </w:rPr>
        <w:t xml:space="preserve">投标人</w:t>
      </w:r>
      <w:r>
        <w:rPr>
          <w:rFonts w:hint="eastAsia" w:asciiTheme="minorEastAsia" w:hAnsiTheme="minorEastAsia" w:eastAsiaTheme="minorEastAsia" w:cstheme="minorEastAsia"/>
          <w:b/>
          <w:bCs/>
          <w:color w:val="ff0000"/>
          <w:szCs w:val="21"/>
        </w:rPr>
        <w:t xml:space="preserve">按照</w:t>
      </w:r>
      <w:r>
        <w:rPr>
          <w:rFonts w:hint="eastAsia" w:asciiTheme="minorEastAsia" w:hAnsiTheme="minorEastAsia" w:eastAsiaTheme="minorEastAsia" w:cstheme="minorEastAsia"/>
          <w:b/>
          <w:bCs/>
          <w:color w:val="ff0000"/>
          <w:szCs w:val="21"/>
          <w:lang w:val="en-US" w:eastAsia="zh-CN"/>
        </w:rPr>
        <w:t xml:space="preserve">采购</w:t>
      </w:r>
      <w:r>
        <w:rPr>
          <w:rFonts w:hint="eastAsia" w:asciiTheme="minorEastAsia" w:hAnsiTheme="minorEastAsia" w:eastAsiaTheme="minorEastAsia" w:cstheme="minorEastAsia"/>
          <w:b/>
          <w:bCs/>
          <w:color w:val="ff0000"/>
          <w:szCs w:val="21"/>
        </w:rPr>
        <w:t xml:space="preserve">文件中</w:t>
      </w:r>
      <w:r>
        <w:rPr>
          <w:rFonts w:hint="eastAsia" w:asciiTheme="minorEastAsia" w:hAnsiTheme="minorEastAsia" w:eastAsiaTheme="minorEastAsia" w:cstheme="minorEastAsia"/>
          <w:b/>
          <w:bCs/>
          <w:color w:val="ff0000"/>
          <w:szCs w:val="21"/>
          <w:lang w:val="en-US" w:eastAsia="zh-CN"/>
        </w:rPr>
        <w:t xml:space="preserve">响应文件</w:t>
      </w:r>
      <w:r>
        <w:rPr>
          <w:rFonts w:hint="eastAsia" w:asciiTheme="minorEastAsia" w:hAnsiTheme="minorEastAsia" w:eastAsiaTheme="minorEastAsia" w:cstheme="minorEastAsia"/>
          <w:b/>
          <w:bCs/>
          <w:color w:val="ff0000"/>
          <w:szCs w:val="21"/>
        </w:rPr>
        <w:t xml:space="preserve">格式要求编制一份</w:t>
      </w:r>
      <w:r>
        <w:rPr>
          <w:rFonts w:hint="eastAsia" w:asciiTheme="minorEastAsia" w:hAnsiTheme="minorEastAsia" w:eastAsiaTheme="minorEastAsia" w:cstheme="minorEastAsia"/>
          <w:b/>
          <w:bCs/>
          <w:color w:val="ff0000"/>
          <w:szCs w:val="21"/>
          <w:lang w:val="en-US" w:eastAsia="zh-CN"/>
        </w:rPr>
        <w:t xml:space="preserve">响应</w:t>
      </w:r>
      <w:r>
        <w:rPr>
          <w:rFonts w:hint="eastAsia" w:asciiTheme="minorEastAsia" w:hAnsiTheme="minorEastAsia" w:eastAsiaTheme="minorEastAsia" w:cstheme="minorEastAsia"/>
          <w:b/>
          <w:bCs/>
          <w:color w:val="ff0000"/>
          <w:szCs w:val="21"/>
        </w:rPr>
        <w:t xml:space="preserve">文件资料添加在投标工具的【</w:t>
      </w:r>
      <w:r>
        <w:rPr>
          <w:rFonts w:hint="eastAsia" w:asciiTheme="minorEastAsia" w:hAnsiTheme="minorEastAsia" w:eastAsiaTheme="minorEastAsia" w:cstheme="minorEastAsia"/>
          <w:b/>
          <w:bCs/>
          <w:color w:val="ff0000"/>
          <w:szCs w:val="21"/>
          <w:lang w:val="en-US" w:eastAsia="zh-CN"/>
        </w:rPr>
        <w:t xml:space="preserve">其他资料</w:t>
      </w:r>
      <w:r>
        <w:rPr>
          <w:rFonts w:hint="eastAsia" w:asciiTheme="minorEastAsia" w:hAnsiTheme="minorEastAsia" w:eastAsiaTheme="minorEastAsia" w:cstheme="minorEastAsia"/>
          <w:b/>
          <w:bCs/>
          <w:color w:val="ff0000"/>
          <w:szCs w:val="21"/>
        </w:rPr>
        <w:t xml:space="preserve">】中。如因</w:t>
      </w:r>
      <w:r>
        <w:rPr>
          <w:rFonts w:hint="eastAsia" w:asciiTheme="minorEastAsia" w:hAnsiTheme="minorEastAsia" w:eastAsiaTheme="minorEastAsia" w:cstheme="minorEastAsia"/>
          <w:b/>
          <w:bCs/>
          <w:color w:val="ff0000"/>
          <w:szCs w:val="21"/>
          <w:lang w:val="en-US" w:eastAsia="zh-CN"/>
        </w:rPr>
        <w:t xml:space="preserve">供应商</w:t>
      </w:r>
      <w:r>
        <w:rPr>
          <w:rFonts w:hint="eastAsia" w:asciiTheme="minorEastAsia" w:hAnsiTheme="minorEastAsia" w:eastAsiaTheme="minorEastAsia" w:cstheme="minorEastAsia"/>
          <w:b/>
          <w:bCs/>
          <w:color w:val="ff0000"/>
          <w:szCs w:val="21"/>
        </w:rPr>
        <w:t xml:space="preserve">未按要求执行造成的一切后果（包括废标）均由</w:t>
      </w:r>
      <w:r>
        <w:rPr>
          <w:rFonts w:hint="eastAsia" w:asciiTheme="minorEastAsia" w:hAnsiTheme="minorEastAsia" w:cstheme="minorEastAsia"/>
          <w:b/>
          <w:bCs/>
          <w:color w:val="ff0000"/>
          <w:szCs w:val="21"/>
          <w:lang w:val="en-US" w:eastAsia="zh-CN"/>
        </w:rPr>
        <w:t xml:space="preserve">投标人</w:t>
      </w:r>
      <w:r>
        <w:rPr>
          <w:rFonts w:hint="eastAsia" w:asciiTheme="minorEastAsia" w:hAnsiTheme="minorEastAsia" w:eastAsiaTheme="minorEastAsia" w:cstheme="minorEastAsia"/>
          <w:b/>
          <w:bCs/>
          <w:color w:val="ff0000"/>
          <w:szCs w:val="21"/>
        </w:rPr>
        <w:t xml:space="preserve">自行承担。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本项目采用固定单价报价，价格不列为评审因素，因</w:t>
      </w:r>
      <w:r>
        <w:rPr>
          <w:rFonts w:ascii="Arial" w:hAnsi="Arial" w:eastAsia="Arial" w:cs="Arial"/>
          <w:b/>
          <w:color w:val="000000"/>
          <w:sz w:val="21"/>
        </w:rPr>
        <w:t xml:space="preserve">电子投标（响应）文件格式</w:t>
      </w:r>
      <w:r>
        <w:rPr>
          <w:rFonts w:ascii="SimSun" w:hAnsi="SimSun" w:eastAsia="SimSun" w:cs="SimSun"/>
          <w:b/>
          <w:color w:val="000000"/>
          <w:sz w:val="21"/>
        </w:rPr>
        <w:t xml:space="preserve">中的【开标一览表】为苏采云平台</w:t>
      </w:r>
      <w:r>
        <w:rPr>
          <w:rFonts w:ascii="Arial" w:hAnsi="Arial" w:eastAsia="Arial" w:cs="Arial"/>
          <w:b/>
          <w:color w:val="000000"/>
          <w:sz w:val="21"/>
        </w:rPr>
        <w:t xml:space="preserve">固定格式，故投标人需在此处填入预算金额</w:t>
      </w:r>
      <w:r>
        <w:rPr>
          <w:rFonts w:ascii="SimSun" w:hAnsi="SimSun" w:eastAsia="SimSun" w:cs="SimSun"/>
          <w:b/>
          <w:color w:val="000000"/>
          <w:sz w:val="21"/>
        </w:rPr>
        <w:t xml:space="preserve">（111.00005万元），具体单价以采购文件中的【开标一览表】为准。</w:t>
      </w:r>
      <w:r>
        <w:rPr>
          <w:sz w:val="21"/>
        </w:rPr>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12、证明投标人及投标标的符合招标文件规定的文件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12.1 投标人应按照招标文件要求提交证明文件，证明其及投标标的符合招标文件规定。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12.2 招标文件对证明文件无明确形式要求的，证明文件可以以文字资料、图纸和数据等形式提交。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p>
    <w:p>
      <w:pPr>
        <w:ind w:firstLine="420"/>
        <w:jc w:val="both"/>
        <w:pageBreakBefore w:val="0"/>
        <w:spacing w:before="0" w:after="0" w:line="360" w:lineRule="auto"/>
        <w:widowControl w:val="off"/>
        <w:rPr>
          <w:rFonts w:hint="eastAsia" w:ascii="宋体" w:hAnsi="宋体" w:eastAsia="宋体" w:cs="宋体"/>
          <w:sz w:val="21"/>
          <w:szCs w:val="21"/>
          <w:lang w:eastAsia="zh-CN"/>
        </w:rPr>
        <w:outlineLvl w:val="9"/>
      </w:pPr>
      <w:r>
        <w:rPr>
          <w:rFonts w:hint="eastAsia" w:ascii="宋体" w:hAnsi="宋体" w:eastAsia="宋体" w:cs="宋体"/>
          <w:sz w:val="21"/>
          <w:szCs w:val="21"/>
        </w:rPr>
        <w:t xml:space="preserve">13、投标分项报价表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13.1 投标人应根据投标报价要求在投标分项报价表中列明各项投标单价、总价等，未全部列示的作无效响应处理。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13.2 投标文件中的单价和总价无特殊规定的采用人民币报价，以元为单位标注。招标文件中另有规定的按规定执行。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14、技术要求响应及偏离表、商务要求响应及偏离表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14.2 投标人可在投标文件中提供认为需要的其他技术文件或说明。</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15、服务承诺、培训计划、人员安排及其他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15.2 投标人应根据招标文件要求提供培训计划、人员安排等。</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15.3 投标人应根据招标文件要求提供所投标的的主要组成部分、功能设计、实现思路及关键技术等。</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16、投标函和开标一览表</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如有</w:t>
      </w:r>
      <w:r>
        <w:rPr>
          <w:rFonts w:hint="eastAsia" w:ascii="宋体" w:hAnsi="宋体" w:eastAsia="宋体" w:cs="宋体"/>
          <w:sz w:val="21"/>
          <w:szCs w:val="21"/>
          <w:lang w:eastAsia="zh-CN"/>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16.1 投标人应按照招标文件提供的格式完整、正确填写投标函、开标一览表。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17、投标有效期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17.2 在特殊情况下，</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四、投标文件递交</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18、电子投标文件的递交</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18.1 投标人应当按照《操作手册》规定，在投标截止时间前制作并递交（上传）电子投标文件。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19.1 投标人递交（上传）电子投标文件的时间不得迟于招标公告中规定的投标截止时间。</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19.2 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20、投标文件的拒收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拒绝接收在招标文件规定的投标截止时间后递交（上传）的任何投标文件。</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21、投标文件的撤回和修改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21.2投标人可在投标截止时间前，对其电子投标文件进行修改，具体操作方法见《操作手册》。在投标截止时间之后，投标人不得对其电子投标文件做任何修改。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21.3在投标截止时间至招标文件规定的投标有效期满之间的这段时间内，投标人不得撤回其投标。</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五、开标与评标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22、开标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组织。“苏采云”系统将自动对项目进行开标，并宣布各投标人名称和投标价格。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22.3投标人在开标过程中涉及到的投标文件解密、开标结果确认等工作，应当按照《操作手册》规定执行。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22.5 投标人未参加开标的，视同认可开标结果。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及评委会联系。</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23、评标委员会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将组织评委会进行评标。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23.2 评委会由采购人代表和有关技术、经济等方面的评审专家组成，且人员构成符合政府采购有关规定。</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23.3评委会按照采购文件规定的评审程序、评审方法和评审标准进行独立评审并确定中标候选人。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24、评标过程的保密与公正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24.1 凡是与审查、澄清、评价和比较投标的有关资料以及授标建议等，采购人、评审专家、</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均不得向投标人或与评标无关的其他人员透露。</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24.2 在评标过程中，投标人不得以任何行为影响评标过程，否则其投标文件将被作为无效投标文件。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和评委会不向未中标的投标人解释未中标原因，也不公布评标过程中的相关细节。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24.4采用综合评分法的项目，未中标的投标人可于中标结果公告期限届满之日起通过“苏采云”系统查看自己的评审得分及排序情况。</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25、投标文件的澄清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评委会并非对每个投标人都提出澄清、说明或者补正要求。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25.3 接到评委会澄清、说明或者补正要求的投标人如未按要求响应，其风险由投标人自行承担。</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26、对投标文件的初审</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26.1 投标文件初审分为资格审查和符合性审查。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（1）资格审查：采购人依据法律法规和招标文件的规定，对投标文件中的资格证明文件进行审查。资格审查的结论，采购人以书面形式向评委会进行反馈。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采购人在进行资格审查的同时，将在信用中国网站（www.creditchina.gov.cn）、中国政府采购网（www.ccgp.gov.cn）查询投标人的信用记录，以确定投标人是否具备投标资格，查询结果留存并归档。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numPr>
          <w:ilvl w:val="0"/>
          <w:numId w:val="2"/>
        </w:num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符合性审查：评委会依据招标文件的规定，从投标文件的有效性、完整性和对招标文件的响应程度进行审查，以确定其是否对招标文件的全部实质性要求作出响应。</w:t>
      </w:r>
      <w:r/>
    </w:p>
    <w:p>
      <w:pPr>
        <w:ind w:firstLine="422"/>
        <w:jc w:val="both"/>
        <w:pageBreakBefore w:val="0"/>
        <w:spacing w:beforeAutospacing="0" w:afterAutospacing="0" w:line="360" w:lineRule="auto"/>
        <w:tabs>
          <w:tab w:val="left" w:pos="900" w:leader="none"/>
        </w:tabs>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t xml:space="preserve">政府采购异常低价审查：</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1.投标（响应）报价低于采购项目预算50%的，即投标（响应）报价&lt;采购项目预算×50%；</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2.投标（响应）报价低于采购项目最高限价45%的，即投标（响应）报价&lt;采购项目最高限价×45%；</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3.评审委员会认定的供应商报价过低、有可能影响产品质量或者不能诚信履约的其他情形。</w:t>
      </w:r>
      <w:r/>
    </w:p>
    <w:p>
      <w:pPr>
        <w:ind w:firstLine="420"/>
        <w:jc w:val="both"/>
        <w:pageBreakBefore w:val="0"/>
        <w:spacing w:line="360" w:lineRule="auto"/>
        <w:tabs>
          <w:tab w:val="left" w:pos="900" w:leader="none"/>
        </w:tabs>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jc w:val="both"/>
        <w:pageBreakBefore w:val="0"/>
        <w:spacing w:line="360" w:lineRule="auto"/>
        <w:tabs>
          <w:tab w:val="left" w:pos="900" w:leader="none"/>
        </w:tabs>
        <w:rPr>
          <w:rFonts w:hint="eastAsia" w:ascii="宋体" w:hAnsi="宋体" w:eastAsia="宋体" w:cs="宋体"/>
          <w:sz w:val="21"/>
          <w:szCs w:val="21"/>
          <w:highlight w:val="none"/>
        </w:rPr>
        <w:outlineLvl w:val="9"/>
      </w:pPr>
      <w:r>
        <w:rPr>
          <w:rFonts w:hint="eastAsia" w:ascii="宋体" w:hAnsi="宋体" w:eastAsia="宋体" w:cs="宋体"/>
          <w:color w:val="auto"/>
          <w:sz w:val="21"/>
          <w:szCs w:val="21"/>
          <w:highlight w:val="none"/>
        </w:rPr>
        <w:t xml:space="preserve">评委会将通过“苏采云”系统要求其在合理的时间内提供书面说明、证明材料。</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可在投标（响应）文件中提供项目具体成本测算等与报价合理性相关的书面说明及相关证明材料，对投标（响应）价格作出解释，便于评审。</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未通过资格审查或符合性审查的投标人，将通过“苏采云”系统中告知其未通过的原因，评审结束后，将不再告知。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所谓重大偏离或保留是指与招标文件规定的实质性要求存在负偏离，或者在实质上与招标文件不一致，而且限制了合同中买方和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26.3 如果投标文件实质上没有响应招标文件的要求，评委会将予以拒绝，投标人不得通过修改或撤销不符合要求的偏离或保留而使其投标成为实质性响应的投标。</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（1）投标文件中开标一览表内容与投标文件中相应内容不一致的，以开标一览表为准。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（2）大写金额和小写金额不一致的，以大写金额为准。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（3）单价金额小数点或者百分比有明显错位的，以开标一览表的总价为准，并修改单价。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（4）总价金额与按单价汇总金额不一致的，以单价金额计算结果为准。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同时出现两种以上错误的，按照前款规定的顺序修正。</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27、无效投标条款和废标条款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27.1 无效投标条款：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（1）投标人未按照招标文件要求递交（上传）电子投标文件的。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（2）投标人在“苏采云”系统规定的时间内未成功解密电子投标文件的。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（3）投标人不具备招标文件中规定的资格要求的。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（5）投标人提交两个（含两个）以上不同的投标报价的。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（6）投标人的报价超过了采购预算或者最高限价的。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（8）不符合招标文件规定的实质性要求和条件的。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（10）投标人未通过符合性审查的。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（11）投标文件含有采购人不能接受的附加条件的。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（12）投标文件未按照招标文件要求加盖公章（CA电子公章）的。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（13）其他法律、法规及本招标文件规定的属于无效投标的情形。</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27.2 有下列情形之一的，视为投标人串通投标，投标无效：</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（1）不同投标人的投标文件由同一单位或者个人编制。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（2）不同投标人委托同一单位或者个人办理投标事宜。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（3）不同投标人的投标文件载明的项目管理成员或者联系人员为同一人。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（4）不同投标人的投标文件异常一致或者投标报价呈规律性差异。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（5）不同投标人的投标文件相互混装。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27.3 废标条款：</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（1）因“苏采云”系统故障原因造成开标不成功的。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（2）评委会认定招标文件存在歧义、重大缺陷导致评标工作无法进行，或者招标文件内容违反国家有关强制性规定的。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（3）符合专业条件的供应商或者对招标文件作实质响应的供应商不足三家的。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（4）出现影响采购公正的违法、违规行为的。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（5）因重大变故，采购任务取消的。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27.4 出现投标截止时间结束后参加投标的供应商或者在评标期间对招标文件做出实质响应的供应商不足三家情况的，按照政府采购有关规定执行。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六、定标</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28、确定中标单位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sz w:val="21"/>
          <w:szCs w:val="21"/>
        </w:rPr>
        <w:t xml:space="preserve">28.1</w:t>
      </w:r>
      <w:r>
        <w:rPr>
          <w:rFonts w:ascii="SimSun" w:hAnsi="SimSun" w:eastAsia="SimSun" w:cs="SimSun"/>
          <w:color w:val="000000"/>
          <w:sz w:val="21"/>
        </w:rPr>
        <w:t xml:space="preserve">评委会根据综合评分情况，按照评审得分由高到低顺序推荐3名成交候选供应商，并编写评审报告。 </w:t>
      </w:r>
      <w:r>
        <w:rPr>
          <w:rFonts w:hint="eastAsia" w:ascii="宋体" w:hAnsi="宋体" w:eastAsia="宋体" w:cs="宋体"/>
          <w:sz w:val="21"/>
          <w:szCs w:val="21"/>
        </w:rPr>
        <w:t xml:space="preserve"> </w:t>
      </w:r>
      <w:r>
        <w:rPr>
          <w:sz w:val="21"/>
        </w:rPr>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28.2 </w:t>
      </w:r>
      <w:r>
        <w:rPr>
          <w:rFonts w:hint="eastAsia" w:asciiTheme="minorEastAsia" w:hAnsiTheme="minorEastAsia" w:eastAsiaTheme="minorEastAsia" w:cstheme="minorEastAsia"/>
          <w:szCs w:val="21"/>
        </w:rPr>
        <w:t xml:space="preserve">根据采购人的授权，</w:t>
      </w:r>
      <w:r>
        <w:rPr>
          <w:rFonts w:hint="eastAsia" w:eastAsia="宋体" w:asciiTheme="minorEastAsia" w:hAnsiTheme="minorEastAsia" w:cstheme="minorEastAsia"/>
          <w:szCs w:val="21"/>
          <w:lang w:val="en-US" w:eastAsia="zh-CN"/>
        </w:rPr>
        <w:t xml:space="preserve">评委会</w:t>
      </w:r>
      <w:r>
        <w:rPr>
          <w:rFonts w:hint="eastAsia" w:asciiTheme="minorEastAsia" w:hAnsiTheme="minorEastAsia" w:eastAsiaTheme="minorEastAsia" w:cstheme="minorEastAsia"/>
          <w:szCs w:val="21"/>
        </w:rPr>
        <w:t xml:space="preserve">直接确定排名第一的</w:t>
      </w:r>
      <w:r>
        <w:rPr>
          <w:rFonts w:hint="eastAsia" w:eastAsia="宋体" w:asciiTheme="minorEastAsia" w:hAnsiTheme="minorEastAsia" w:cstheme="minorEastAsia"/>
          <w:szCs w:val="21"/>
          <w:lang w:val="en-US" w:eastAsia="zh-CN"/>
        </w:rPr>
        <w:t xml:space="preserve">中标</w:t>
      </w:r>
      <w:r>
        <w:rPr>
          <w:rFonts w:hint="eastAsia" w:asciiTheme="minorEastAsia" w:hAnsiTheme="minorEastAsia" w:eastAsiaTheme="minorEastAsia" w:cstheme="minorEastAsia"/>
          <w:szCs w:val="21"/>
        </w:rPr>
        <w:t xml:space="preserve">候选</w:t>
      </w:r>
      <w:r>
        <w:rPr>
          <w:rFonts w:hint="eastAsia" w:eastAsia="宋体" w:asciiTheme="minorEastAsia" w:hAnsiTheme="minorEastAsia" w:cstheme="minorEastAsia"/>
          <w:szCs w:val="21"/>
          <w:lang w:val="en-US" w:eastAsia="zh-CN"/>
        </w:rPr>
        <w:t xml:space="preserve">人</w:t>
      </w:r>
      <w:r>
        <w:rPr>
          <w:rFonts w:hint="eastAsia" w:asciiTheme="minorEastAsia" w:hAnsiTheme="minorEastAsia" w:eastAsiaTheme="minorEastAsia" w:cstheme="minorEastAsia"/>
          <w:szCs w:val="21"/>
        </w:rPr>
        <w:t xml:space="preserve">为</w:t>
      </w:r>
      <w:r>
        <w:rPr>
          <w:rFonts w:hint="eastAsia" w:eastAsia="宋体" w:asciiTheme="minorEastAsia" w:hAnsiTheme="minorEastAsia" w:cstheme="minorEastAsia"/>
          <w:szCs w:val="21"/>
          <w:lang w:val="en-US" w:eastAsia="zh-CN"/>
        </w:rPr>
        <w:t xml:space="preserve">中标人。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将在江苏政府采购网发布中标公告，公告期限为1个工作日。</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28.4 若有充分证据证明，中标人存在下列情形之一的，一经查实，将被取消中标资格：</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（1）提供虚假材料谋取中标、成交的。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（2）采取不正当手段诋毁、排挤其他供应商的。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（3）与采购人、其他供应商或者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恶意串通的。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（5）在招标采购过程中与采购人进行协商谈判的。</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（6）属于本招标文件规定的无效情形，但在评标过程中又未被评委会发现的。</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29、中标通知书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29.3 中标人应在中标后七个工作日内，向采购人和</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各提供一份与电子投标文件一致的纸质打印胶装投标文件，封面、骑缝需加盖公章。</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七、授予合同</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30、签订合同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30.1 中标人应当在中标通知书发出之日起三十日内，按照招标文件和中标人投标文件的规定，与采购人签订政府采购合同。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30.2 招标文件、中标人的投标文件及招标过程中有关澄清、承诺等文件均应作为合同附件。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30.4 </w:t>
      </w:r>
      <w:r>
        <w:rPr>
          <w:rFonts w:hint="eastAsia" w:ascii="宋体" w:hAnsi="宋体" w:eastAsia="宋体" w:cs="宋体"/>
          <w:sz w:val="21"/>
          <w:szCs w:val="21"/>
          <w:highlight w:val="none"/>
        </w:rPr>
        <w:t xml:space="preserve">采购人应当在合同签订后2</w:t>
      </w:r>
      <w:r>
        <w:rPr>
          <w:rFonts w:hint="eastAsia" w:ascii="宋体" w:hAnsi="宋体" w:eastAsia="宋体" w:cs="宋体"/>
          <w:sz w:val="21"/>
          <w:szCs w:val="21"/>
          <w:highlight w:val="none"/>
        </w:rPr>
        <w:t xml:space="preserve">个</w:t>
      </w:r>
      <w:r>
        <w:rPr>
          <w:rFonts w:hint="eastAsia" w:ascii="宋体" w:hAnsi="宋体" w:eastAsia="宋体" w:cs="宋体"/>
          <w:sz w:val="21"/>
          <w:szCs w:val="21"/>
          <w:highlight w:val="none"/>
        </w:rPr>
        <w:t xml:space="preserve">工作</w:t>
      </w:r>
      <w:r>
        <w:rPr>
          <w:rFonts w:hint="eastAsia" w:ascii="宋体" w:hAnsi="宋体" w:eastAsia="宋体" w:cs="宋体"/>
          <w:sz w:val="21"/>
          <w:szCs w:val="21"/>
          <w:highlight w:val="none"/>
        </w:rPr>
        <w:t xml:space="preserve">日内上传合同至苏采云公示</w:t>
      </w:r>
      <w:r>
        <w:rPr>
          <w:rFonts w:hint="eastAsia" w:ascii="宋体" w:hAnsi="宋体" w:eastAsia="宋体" w:cs="宋体"/>
          <w:sz w:val="21"/>
          <w:szCs w:val="21"/>
        </w:rPr>
        <w:t xml:space="preserve">。</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30.5履约保证金</w:t>
      </w:r>
      <w:r/>
    </w:p>
    <w:p>
      <w:pPr>
        <w:ind w:firstLine="420"/>
        <w:jc w:val="both"/>
        <w:pageBreakBefore w:val="0"/>
        <w:spacing w:line="360" w:lineRule="auto"/>
        <w:widowControl w:val="off"/>
        <w:rPr>
          <w:rFonts w:hint="default" w:ascii="宋体" w:hAnsi="宋体" w:eastAsia="宋体" w:cs="宋体"/>
          <w:sz w:val="21"/>
          <w:szCs w:val="21"/>
          <w:lang w:val="en-US" w:eastAsia="zh-CN"/>
        </w:rPr>
        <w:outlineLvl w:val="9"/>
      </w:pPr>
      <w:r>
        <w:rPr>
          <w:rFonts w:hint="eastAsia" w:ascii="宋体" w:hAnsi="宋体" w:eastAsia="宋体" w:cs="宋体"/>
          <w:sz w:val="21"/>
          <w:szCs w:val="21"/>
          <w:lang w:val="en-US" w:eastAsia="zh-CN"/>
        </w:rPr>
        <w:t xml:space="preserve">本项目不收取履约保证金。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31、合同标的的追加</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32、政府采购履约资金扶持政策</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32.1 中标人可凭政府采购合同办理融资贷款，详情请见江苏政府采购网“政采贷”专栏。</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八、询问与质疑</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33、询问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33.1 供应商对政府采购活动事项有疑问的，可以提出询问，采购人或者</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应当在3个工作日内对投标人依法提出的询问作出答复，但答复的内容不得涉及商业秘密。供应商提出的询问超出采购人对</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应当告知其向采购人提出。</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34、质疑提出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34.1 提出质疑的供应商应当是参与所质疑项目采购活动的供应商。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提出质疑。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将只对供应商第一次质疑作出答复。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不具有法定调查、认定权限。</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34.4 质疑函的接收方式为供应商书面原件提交。联系部门、联系电话和通讯地址详见招标文件第一章。质疑实行实名制，不得进行虚假、恶意质疑。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34.5 质疑函应当使用范本，详见招标文件第六章。供应商提出质疑应当提交质疑函和必要的证明材料，应当包括下列内容：</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（1）供应商的姓名或者名称、地址、邮编、联系人及联系电话；</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（2）质疑项目的名称、编号；</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（3）具体、明确的质疑事项和与质疑事项相关的请求；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（4）事实依据；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（5）必要的法律依据；</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（6）提出质疑的日期；</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（7）必要的证明材料；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（8）营业执照复印件及授权委托书原件、法定代表人（单位负责人）身份证复印件、委托代理人身份证复印件。</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35、质疑函的受理和答复</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不负责搜集必要的证明材料等工作。</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35.2 对符合法定要求的质疑，采购人、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35.3 对不符合质疑要求的，采购人、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有权要求其补充必要的证明材料，质疑供应商未在法定时间内补充必要的证明材料的，视同放弃质疑。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35.4 以下情形的质疑依法不予受理：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（1）内容不符合《政府采购质疑和投诉办法》第十二条规定的质疑。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（2）超出政府采购法定期限的质疑。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（3）以传真、电子邮件等方式递交的非原件形式的质疑。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（4）未参与采购活动或在采购活动中自身权益未受到损害的供应商提出的质疑。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（5）供应商组成联合体，联合体中任何一方或多方未按要求签字（盖章）、加盖公章的质疑。</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35.5 采购人、</w:t>
      </w:r>
      <w:r>
        <w:rPr>
          <w:rFonts w:hint="eastAsia" w:ascii="宋体" w:hAnsi="宋体" w:eastAsia="宋体" w:cs="宋体"/>
          <w:sz w:val="21"/>
          <w:szCs w:val="21"/>
          <w:lang w:eastAsia="zh-CN"/>
        </w:rPr>
        <w:t xml:space="preserve">代理机构</w:t>
      </w:r>
      <w:r>
        <w:rPr>
          <w:rFonts w:hint="eastAsia" w:ascii="宋体" w:hAnsi="宋体" w:eastAsia="宋体" w:cs="宋体"/>
          <w:sz w:val="21"/>
          <w:szCs w:val="21"/>
        </w:rPr>
        <w:t xml:space="preserve">依法受理的质疑，将按照政府采购有关规定，在法定期限内作出答复。</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36、质疑处理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36.1 质疑供应商未按照法定程序进行质疑投诉的，视为一般失信行为。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36.2 质疑供应商不配合或者采取不正当手段干扰政府采购质疑、投诉处理工作的，视为一般失信行为。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36.3 质疑供应商投诉受理期间，就同一事项多头举报，干扰财政部门投诉处理的，视为一般失信行为。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36.4 质疑供应商在全国范围12个月内三次以上质疑查无实据的，视为一般失信行为。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36.6 质疑供应商在全国范围12个月内三次以上投诉查无实据的，视为严重失信行为。</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36.7 未尽事宜，依照有关法律、法规执行。</w:t>
      </w:r>
      <w:r/>
    </w:p>
    <w:p>
      <w:pPr>
        <w:ind w:firstLine="420"/>
        <w:jc w:val="both"/>
        <w:pageBreakBefore w:val="0"/>
        <w:spacing w:before="0" w:after="0" w:line="360" w:lineRule="auto"/>
        <w:rPr>
          <w:rFonts w:hint="eastAsia" w:ascii="宋体" w:hAnsi="宋体" w:eastAsia="宋体" w:cs="宋体"/>
          <w:b w:val="0"/>
          <w:sz w:val="21"/>
          <w:szCs w:val="21"/>
        </w:rPr>
        <w:outlineLvl w:val="9"/>
      </w:pPr>
      <w:r>
        <w:rPr>
          <w:rFonts w:hint="eastAsia" w:ascii="宋体" w:hAnsi="宋体" w:eastAsia="宋体" w:cs="宋体"/>
          <w:b w:val="0"/>
          <w:sz w:val="21"/>
          <w:szCs w:val="21"/>
        </w:rPr>
        <w:t xml:space="preserve">九、政府采购政策功能</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、支持绿色发展</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37</w:t>
      </w:r>
      <w:r>
        <w:rPr>
          <w:rFonts w:hint="eastAsia" w:ascii="宋体" w:hAnsi="宋体" w:eastAsia="宋体" w:cs="宋体"/>
          <w:sz w:val="21"/>
          <w:szCs w:val="21"/>
        </w:rPr>
        <w:t xml:space="preserve">.3政府采购项目执行《财政部生态环境部工业和信息化部关于印发&lt;绿色数据中心政府采购需求标准（试行)&gt;的通知》(财库〔2023〕7号）相关要求。</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20"/>
        <w:jc w:val="both"/>
        <w:pageBreakBefore w:val="0"/>
        <w:spacing w:before="0" w:after="0"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、政府采购需求标准</w:t>
      </w:r>
      <w:r/>
    </w:p>
    <w:p>
      <w:pPr>
        <w:ind w:firstLine="420"/>
        <w:jc w:val="both"/>
        <w:pageBreakBefore w:val="0"/>
        <w:spacing w:line="360" w:lineRule="auto"/>
        <w:widowControl w:val="off"/>
        <w:rPr>
          <w:rFonts w:hint="eastAsia" w:ascii="宋体" w:hAnsi="宋体" w:eastAsia="宋体" w:cs="宋体"/>
          <w:sz w:val="21"/>
          <w:szCs w:val="21"/>
        </w:rPr>
        <w:outlineLvl w:val="9"/>
      </w:pPr>
      <w:r>
        <w:rPr>
          <w:rFonts w:hint="eastAsia" w:ascii="宋体" w:hAnsi="宋体" w:eastAsia="宋体" w:cs="宋体"/>
          <w:sz w:val="21"/>
          <w:szCs w:val="21"/>
        </w:rPr>
        <w:t xml:space="preserve">3</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 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20"/>
        <w:jc w:val="both"/>
        <w:pageBreakBefore w:val="0"/>
        <w:spacing w:line="360" w:lineRule="auto"/>
        <w:widowControl/>
        <w:rPr>
          <w:rFonts w:hint="eastAsia" w:ascii="宋体" w:hAnsi="宋体" w:eastAsia="宋体" w:cs="宋体"/>
          <w:sz w:val="21"/>
          <w:szCs w:val="21"/>
        </w:rPr>
        <w:outlineLvl w:val="9"/>
      </w:pPr>
      <w:r>
        <w:rPr>
          <w:rFonts w:hint="eastAsia" w:ascii="宋体" w:hAnsi="宋体" w:eastAsia="宋体" w:cs="宋体"/>
          <w:sz w:val="21"/>
          <w:szCs w:val="21"/>
        </w:rPr>
        <w:br w:type="page" w:clear="all"/>
      </w:r>
      <w:r/>
    </w:p>
    <w:p>
      <w:pPr>
        <w:pStyle w:val="767"/>
        <w:jc w:val="center"/>
        <w:spacing w:before="156" w:after="156" w:line="360" w:lineRule="auto"/>
        <w:rPr>
          <w:rFonts w:hint="eastAsia" w:ascii="宋体" w:hAnsi="宋体" w:eastAsia="宋体" w:cs="宋体"/>
          <w:b w:val="0"/>
        </w:rPr>
      </w:pPr>
      <w:r/>
      <w:bookmarkStart w:id="2" w:name="_Toc155796358"/>
      <w:r>
        <w:rPr>
          <w:rFonts w:hint="eastAsia" w:ascii="宋体" w:hAnsi="宋体" w:eastAsia="宋体" w:cs="宋体"/>
          <w:b w:val="0"/>
          <w:sz w:val="30"/>
          <w:szCs w:val="30"/>
        </w:rPr>
        <w:t xml:space="preserve">第三章  合同文本</w:t>
      </w:r>
      <w:bookmarkEnd w:id="2"/>
      <w:r/>
      <w:r/>
    </w:p>
    <w:p>
      <w:pPr>
        <w:jc w:val="center"/>
        <w:spacing w:line="360" w:lineRule="auto"/>
        <w:rPr>
          <w:rFonts w:hint="eastAsia" w:ascii="宋体" w:hAnsi="宋体" w:eastAsia="宋体" w:cs="宋体"/>
          <w:b/>
          <w:bCs/>
          <w:color w:val="auto"/>
          <w:sz w:val="44"/>
          <w:szCs w:val="24"/>
          <w:highlight w:val="none"/>
          <w:u w:val="single"/>
        </w:rPr>
      </w:pPr>
      <w:r/>
      <w:bookmarkStart w:id="3" w:name="_Toc155796359"/>
      <w:r/>
      <w:r/>
    </w:p>
    <w:p>
      <w:pPr>
        <w:jc w:val="center"/>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u w:val="single"/>
        </w:rPr>
        <w:t xml:space="preserve">                    </w:t>
      </w:r>
      <w:r>
        <w:rPr>
          <w:rFonts w:hint="eastAsia" w:ascii="宋体" w:hAnsi="宋体" w:eastAsia="宋体" w:cs="宋体"/>
          <w:b/>
          <w:bCs/>
          <w:color w:val="auto"/>
          <w:sz w:val="44"/>
          <w:szCs w:val="24"/>
          <w:highlight w:val="none"/>
        </w:rPr>
        <w:t xml:space="preserve">合同</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3070"/>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r>
      <w:r/>
    </w:p>
    <w:p>
      <w:pPr>
        <w:ind w:firstLine="88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66"/>
        <w:spacing w:line="360" w:lineRule="auto"/>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880"/>
        <w:spacing w:line="360" w:lineRule="auto"/>
        <w:rPr>
          <w:rFonts w:hint="eastAsia" w:ascii="宋体" w:hAnsi="宋体" w:eastAsia="宋体" w:cs="宋体"/>
          <w:color w:val="auto"/>
          <w:sz w:val="44"/>
          <w:szCs w:val="24"/>
          <w:highlight w:val="none"/>
        </w:rPr>
      </w:pPr>
      <w:r>
        <w:rPr>
          <w:rFonts w:hint="eastAsia" w:ascii="宋体" w:hAnsi="宋体" w:eastAsia="宋体" w:cs="宋体"/>
          <w:color w:val="auto"/>
          <w:sz w:val="44"/>
          <w:szCs w:val="24"/>
          <w:highlight w:val="none"/>
        </w:rPr>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采购人：</w:t>
      </w:r>
      <w:r/>
    </w:p>
    <w:p>
      <w:pPr>
        <w:ind w:firstLine="1758"/>
        <w:spacing w:line="360" w:lineRule="auto"/>
        <w:rPr>
          <w:rFonts w:hint="eastAsia" w:ascii="宋体" w:hAnsi="宋体" w:eastAsia="宋体" w:cs="宋体"/>
          <w:b/>
          <w:bCs/>
          <w:color w:val="auto"/>
          <w:sz w:val="44"/>
          <w:szCs w:val="24"/>
          <w:highlight w:val="none"/>
        </w:rPr>
      </w:pPr>
      <w:r>
        <w:rPr>
          <w:rFonts w:hint="eastAsia" w:ascii="宋体" w:hAnsi="宋体" w:eastAsia="宋体" w:cs="宋体"/>
          <w:b/>
          <w:bCs/>
          <w:color w:val="auto"/>
          <w:sz w:val="44"/>
          <w:szCs w:val="24"/>
          <w:highlight w:val="none"/>
        </w:rPr>
        <w:t xml:space="preserve">中标人：</w:t>
      </w:r>
      <w:r/>
    </w:p>
    <w:p>
      <w:pPr>
        <w:ind w:firstLine="42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Cs w:val="24"/>
          <w:highlight w:val="none"/>
        </w:rPr>
        <w:br w:type="page" w:clear="all"/>
      </w:r>
      <w:r/>
    </w:p>
    <w:p>
      <w:pPr>
        <w:ind w:firstLine="420"/>
        <w:jc w:val="left"/>
        <w:spacing w:line="56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以下为中标后签订本项目合同的通用条款，中标供应商不得提出实质性的修改，关于专用条款将由采购人与中标供应商结合本项目具体情况协商后签订。</w:t>
      </w:r>
      <w:r/>
    </w:p>
    <w:p>
      <w:pPr>
        <w:jc w:val="left"/>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Cs/>
          <w:color w:val="auto"/>
          <w:sz w:val="24"/>
          <w:szCs w:val="24"/>
          <w:highlight w:val="none"/>
        </w:rPr>
      </w:pPr>
      <w:r>
        <w:rPr>
          <w:rFonts w:hint="eastAsia" w:ascii="宋体" w:hAnsi="宋体" w:eastAsia="宋体" w:cs="宋体"/>
          <w:b/>
          <w:color w:val="auto"/>
          <w:sz w:val="32"/>
          <w:szCs w:val="32"/>
          <w:highlight w:val="none"/>
        </w:rPr>
        <w:t xml:space="preserve">政府采购合同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甲方：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乙方：（卖方）_________</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见证方：</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甲、乙双方根据</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rPr>
          <w:rFonts w:hint="eastAsia" w:ascii="宋体" w:hAnsi="宋体" w:eastAsia="宋体" w:cs="宋体"/>
          <w:color w:val="auto"/>
          <w:sz w:val="21"/>
          <w:szCs w:val="21"/>
          <w:highlight w:val="none"/>
          <w:u w:val="single"/>
        </w:rPr>
        <w:t xml:space="preserve">【标段名称】</w:t>
      </w:r>
      <w:r>
        <w:rPr>
          <w:rFonts w:hint="eastAsia" w:ascii="宋体" w:hAnsi="宋体" w:eastAsia="宋体" w:cs="宋体"/>
          <w:color w:val="auto"/>
          <w:sz w:val="21"/>
          <w:szCs w:val="21"/>
          <w:highlight w:val="none"/>
        </w:rPr>
        <w:t xml:space="preserve">项目（标段编号：</w:t>
      </w:r>
      <w:r>
        <w:rPr>
          <w:rFonts w:hint="eastAsia" w:ascii="宋体" w:hAnsi="宋体" w:eastAsia="宋体" w:cs="宋体"/>
          <w:color w:val="auto"/>
          <w:sz w:val="21"/>
          <w:szCs w:val="21"/>
          <w:highlight w:val="none"/>
          <w:u w:val="single"/>
        </w:rPr>
        <w:t xml:space="preserve">【标段编号】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招标的结果，签订本合同。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一、采购标的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1.1 服务内容：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1.2 服务期限：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1.3 补充条款：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二、合同金额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本合同金额为（大写）：_________________元整（¥__________）人民币。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三、</w:t>
      </w:r>
      <w:r>
        <w:rPr>
          <w:rFonts w:hint="eastAsia" w:ascii="宋体" w:hAnsi="宋体" w:eastAsia="宋体" w:cs="宋体"/>
          <w:b/>
          <w:color w:val="auto"/>
          <w:sz w:val="21"/>
          <w:szCs w:val="21"/>
          <w:highlight w:val="none"/>
          <w:lang w:val="en-US" w:eastAsia="zh-CN"/>
        </w:rPr>
        <w:t xml:space="preserve">考核标准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采购人依据考核标准，会同专业第三方评估组织进行考核。</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考核包括综合考核标准、日常考核标准和第三方质量评估。</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四、知识产权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b/>
          <w:color w:val="auto"/>
          <w:sz w:val="21"/>
          <w:szCs w:val="21"/>
          <w:highlight w:val="none"/>
        </w:rPr>
        <w:t xml:space="preserve">五、产权担保</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5.1 乙方保证所交付标的的所有权完全属于乙方且无任何抵押、查封等产权瑕疵。</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六、履约保证金</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本项目不收取履约保证金。</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七、转包或分包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本合同范围内产品或服务，应由乙方直接供应，不得转让他人供应；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 除非得到甲方的书面同意，乙方不得部分分包给他人供应。</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如有转让和未经甲方同意的分包行为，甲方有权给予终止合同。 </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八、服务期</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8.1 服务期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年。具体以年度考核正式通知时间段日期为准。</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九、交付期、交付方式及交付地点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9.1 交 付 期：</w:t>
      </w:r>
      <w:r>
        <w:rPr>
          <w:rFonts w:hint="eastAsia" w:ascii="宋体" w:hAnsi="宋体" w:eastAsia="宋体" w:cs="宋体"/>
          <w:color w:val="auto"/>
          <w:sz w:val="21"/>
          <w:szCs w:val="21"/>
          <w:highlight w:val="none"/>
        </w:rPr>
        <w:t xml:space="preserve">_________。   </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9.2 交付方式：</w:t>
      </w:r>
      <w:r>
        <w:rPr>
          <w:rFonts w:hint="eastAsia" w:ascii="宋体" w:hAnsi="宋体" w:eastAsia="宋体" w:cs="宋体"/>
          <w:color w:val="auto"/>
          <w:sz w:val="21"/>
          <w:szCs w:val="21"/>
          <w:highlight w:val="none"/>
          <w:u w:val="single"/>
          <w:lang w:val="en-US" w:eastAsia="zh-CN"/>
        </w:rPr>
        <w:t xml:space="preserve">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Cs/>
          <w:color w:val="auto"/>
          <w:sz w:val="21"/>
          <w:szCs w:val="21"/>
          <w:highlight w:val="none"/>
        </w:rPr>
        <w:t xml:space="preserve">9.3 交付地点：</w:t>
      </w:r>
      <w:r>
        <w:rPr>
          <w:rFonts w:hint="eastAsia" w:ascii="宋体" w:hAnsi="宋体" w:eastAsia="宋体" w:cs="宋体"/>
          <w:color w:val="auto"/>
          <w:sz w:val="21"/>
          <w:szCs w:val="21"/>
          <w:highlight w:val="none"/>
          <w:u w:val="singl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十、合同款支付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10.1 付款方式</w:t>
      </w:r>
      <w:r>
        <w:rPr>
          <w:rFonts w:hint="eastAsia" w:ascii="宋体" w:hAnsi="宋体" w:eastAsia="宋体" w:cs="宋体"/>
          <w:color w:val="auto"/>
          <w:sz w:val="21"/>
          <w:szCs w:val="21"/>
          <w:highlight w:val="none"/>
        </w:rPr>
        <w:t xml:space="preserve">：</w:t>
      </w:r>
      <w:r>
        <w:rPr>
          <w:rFonts w:hint="eastAsia" w:ascii="宋体" w:hAnsi="宋体" w:eastAsia="宋体" w:cs="宋体"/>
          <w:strike w:val="0"/>
          <w:color w:val="auto"/>
          <w:sz w:val="21"/>
          <w:szCs w:val="21"/>
          <w:highlight w:val="none"/>
        </w:rPr>
        <w:t xml:space="preserve">采购人委托第三方机构按相关文件规定进行评估考核，</w:t>
      </w:r>
      <w:r>
        <w:rPr>
          <w:rFonts w:hint="eastAsia" w:ascii="宋体" w:hAnsi="宋体" w:eastAsia="宋体" w:cs="宋体"/>
          <w:color w:val="auto"/>
          <w:sz w:val="21"/>
          <w:szCs w:val="21"/>
          <w:highlight w:val="none"/>
        </w:rPr>
        <w:t xml:space="preserve">结合日常、定期考核情况，每季度形成综合考核评估报告，根据考核结果，按照服务经费标准及实际服务人数每季度进行结算(无息)。</w:t>
      </w:r>
      <w:r/>
    </w:p>
    <w:p>
      <w:pPr>
        <w:ind w:firstLine="420"/>
        <w:jc w:val="both"/>
        <w:keepLines w:val="0"/>
        <w:keepNext w:val="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10.2 </w:t>
      </w:r>
      <w:r>
        <w:rPr>
          <w:rFonts w:hint="eastAsia" w:ascii="宋体" w:hAnsi="宋体" w:eastAsia="宋体" w:cs="宋体"/>
          <w:color w:val="auto"/>
          <w:sz w:val="21"/>
          <w:szCs w:val="21"/>
          <w:highlight w:val="none"/>
        </w:rPr>
        <w:t xml:space="preserve">每次付款前乙方应向甲方开具正规发票，</w:t>
      </w:r>
      <w:r>
        <w:rPr>
          <w:rFonts w:hint="eastAsia" w:ascii="宋体" w:hAnsi="宋体" w:eastAsia="宋体" w:cs="宋体"/>
          <w:color w:val="auto"/>
          <w:sz w:val="21"/>
          <w:szCs w:val="21"/>
          <w:highlight w:val="none"/>
          <w:u w:val="none"/>
        </w:rPr>
        <w:t xml:space="preserve">甲方自收到发票后10个工作日</w:t>
      </w:r>
      <w:r>
        <w:rPr>
          <w:rFonts w:hint="eastAsia" w:ascii="宋体" w:hAnsi="宋体" w:eastAsia="宋体" w:cs="宋体"/>
          <w:color w:val="auto"/>
          <w:sz w:val="21"/>
          <w:szCs w:val="21"/>
          <w:highlight w:val="none"/>
        </w:rPr>
        <w:t xml:space="preserve">内将资金支付至合同约定的乙方账户 (发票开具日期计算)。</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十一、税费</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本合同执行中相关的一切税费均由乙方负担。</w:t>
      </w:r>
      <w:r/>
    </w:p>
    <w:p>
      <w:pPr>
        <w:ind w:firstLine="422"/>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十二、质量保证及售后服务</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乙方必须严格按招标文书和相关文件中明确的项目服务要求，提供康复服务，确保服务质量和时间，做好服务管理工作。</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甲方按省、市相关文件对乙方进行管理。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康复对象在乙方机构内进行各种康复训练与治疗过程中出现各类意外和纠纷由乙方负责，甲方不承担责任。</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十三、验收</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13.1甲方每年按考核办法对乙方提交的服务依据招标文件上的项目需求、乙方响应文件及国家有关质量标准等情况进行相应考核验收。</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十四、合同内容的交付</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乙方应保证在训残疾儿童足额足时足量参加康复训练。</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十五、违约责任</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乙方的考核验收结果存在以下问题的，一律解除服务合同: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(1)不按合同要求、不执行《江苏省残疾儿童基本康复服务实施规范》和《残疾儿童基本康复服务规范》连云港市地方技术标准，且不完成限期整改的;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(2)按照财政资金绩效评价相关规定对机构实施的残疾儿童基本康复服务进行绩效考核年度考核不合格的，且不完成限期整改的;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(3)不按合同要求，自行降低服务标准的，两次告诫且不完成限期整改的;</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(4)发生严重安全及重大责任事故;</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(5)弄虚作假，开具假证明、假服务记录、假票据等行为套取政府购买服务资金的，限期整改并退回套取资金，情节严重涉嫌犯罪的，移送司法机关依法处理;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(6)服务期限内被举报或投诉 2次(含)以上，经核实情况属实</w:t>
      </w:r>
      <w:r>
        <w:rPr>
          <w:rFonts w:hint="eastAsia" w:ascii="宋体" w:hAnsi="宋体" w:eastAsia="宋体" w:cs="宋体"/>
          <w:strike w:val="0"/>
          <w:color w:val="auto"/>
          <w:sz w:val="21"/>
          <w:szCs w:val="21"/>
          <w:highlight w:val="none"/>
          <w:u w:val="none"/>
        </w:rPr>
        <w:t xml:space="preserve">，两次告诫后不完成限期整改</w:t>
      </w:r>
      <w:r>
        <w:rPr>
          <w:rFonts w:hint="eastAsia" w:ascii="宋体" w:hAnsi="宋体" w:eastAsia="宋体" w:cs="宋体"/>
          <w:color w:val="auto"/>
          <w:sz w:val="21"/>
          <w:szCs w:val="21"/>
          <w:highlight w:val="none"/>
        </w:rPr>
        <w:t xml:space="preserve">的。</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十六、不可抗力事件处理</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在合同有效期内，任何一方因不可抗力事件导致不能履行合同，则合同履行期延长，其延长期与不可抗力影响期相同。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不可抗力事件发生后，应立即通知对方，并寄送有关权威机构出具的证明。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16.3 不可抗力事件延续120天以上，双方应通过友好协商，确定是否继续履行合同。</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十七、争议解决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双方在执行合同中所发生的一切争议，应通过协商解决。如协商不成，按下列第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 xml:space="preserve">种方式解决：</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仲裁委员会申请仲裁。</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（2）向合同签订地法院起诉，合同签订地在此约定为</w:t>
      </w:r>
      <w:r>
        <w:rPr>
          <w:rFonts w:hint="eastAsia" w:ascii="宋体" w:hAnsi="宋体" w:eastAsia="宋体" w:cs="宋体"/>
          <w:color w:val="auto"/>
          <w:sz w:val="21"/>
          <w:szCs w:val="21"/>
          <w:highlight w:val="none"/>
          <w:lang w:val="en-US" w:eastAsia="zh-CN"/>
        </w:rPr>
        <w:t xml:space="preserve">赣榆区</w:t>
      </w:r>
      <w:r>
        <w:rPr>
          <w:rFonts w:hint="eastAsia" w:ascii="宋体" w:hAnsi="宋体" w:eastAsia="宋体" w:cs="宋体"/>
          <w:color w:val="auto"/>
          <w:sz w:val="21"/>
          <w:szCs w:val="21"/>
          <w:highlight w:val="none"/>
        </w:rPr>
        <w:t xml:space="preserve">。</w:t>
      </w:r>
      <w:r/>
    </w:p>
    <w:p>
      <w:pPr>
        <w:ind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十八、合同生效及其它</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合同经双方法定代表人或委托代理人签字并加盖单位公章后生效。</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 本合同未尽事宜，遵照《中华人民共和国民法典》有关条文执行。</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本合同正本一式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份，具有同等法律效力，甲方执</w:t>
      </w:r>
      <w:r>
        <w:rPr>
          <w:rFonts w:hint="eastAsia" w:ascii="宋体" w:hAnsi="宋体" w:eastAsia="宋体" w:cs="宋体"/>
          <w:color w:val="auto"/>
          <w:sz w:val="21"/>
          <w:szCs w:val="21"/>
          <w:highlight w:val="none"/>
          <w:u w:val="single"/>
        </w:rPr>
        <w:t xml:space="preserve">  贰 </w:t>
      </w:r>
      <w:r>
        <w:rPr>
          <w:rFonts w:hint="eastAsia" w:ascii="宋体" w:hAnsi="宋体" w:eastAsia="宋体" w:cs="宋体"/>
          <w:color w:val="auto"/>
          <w:sz w:val="21"/>
          <w:szCs w:val="21"/>
          <w:highlight w:val="none"/>
        </w:rPr>
        <w:t xml:space="preserve">份、乙方执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贰</w:t>
      </w:r>
      <w:r>
        <w:rPr>
          <w:rFonts w:hint="eastAsia" w:ascii="宋体" w:hAnsi="宋体" w:eastAsia="宋体" w:cs="宋体"/>
          <w:color w:val="auto"/>
          <w:sz w:val="21"/>
          <w:szCs w:val="21"/>
          <w:highlight w:val="none"/>
        </w:rPr>
        <w:t xml:space="preserve">份。</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                                  乙方：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                                  地址：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                            法定代表人：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                            委托代理人：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电话：                                  电话：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传真：                                  传真：                     </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签订日期：      年  月  日</w:t>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802"/>
        <w:rPr>
          <w:rFonts w:hint="eastAsia"/>
          <w:lang w:val="en-US" w:eastAsia="zh-CN"/>
        </w:rPr>
      </w:pPr>
      <w:r>
        <w:rPr>
          <w:rFonts w:hint="eastAsia"/>
          <w:lang w:val="en-US" w:eastAsia="zh-CN"/>
        </w:rPr>
      </w:r>
      <w:r/>
    </w:p>
    <w:p>
      <w:pPr>
        <w:pStyle w:val="767"/>
        <w:jc w:val="center"/>
        <w:spacing w:before="156" w:after="156" w:line="360" w:lineRule="auto"/>
        <w:rPr>
          <w:rFonts w:hint="eastAsia" w:ascii="宋体" w:hAnsi="宋体" w:eastAsia="宋体" w:cs="宋体"/>
          <w:b w:val="0"/>
          <w:sz w:val="30"/>
          <w:szCs w:val="30"/>
          <w:lang w:val="en-US" w:eastAsia="zh-CN"/>
        </w:rPr>
      </w:pPr>
      <w:r>
        <w:rPr>
          <w:rFonts w:hint="eastAsia" w:ascii="宋体" w:hAnsi="宋体" w:eastAsia="宋体" w:cs="宋体"/>
          <w:b w:val="0"/>
          <w:sz w:val="30"/>
          <w:szCs w:val="30"/>
        </w:rPr>
        <w:t xml:space="preserve">第四章  采购需求</w:t>
      </w:r>
      <w:r>
        <w:rPr>
          <w:rFonts w:hint="eastAsia" w:ascii="宋体" w:hAnsi="宋体" w:eastAsia="宋体" w:cs="宋体"/>
          <w:b w:val="0"/>
          <w:sz w:val="30"/>
          <w:szCs w:val="30"/>
          <w:lang w:val="en-US" w:eastAsia="zh-CN"/>
        </w:rPr>
        <w:t xml:space="preserve"> </w:t>
      </w:r>
      <w:bookmarkEnd w:id="3"/>
      <w:r/>
      <w:r/>
    </w:p>
    <w:p>
      <w:pPr>
        <w:ind w:left="0" w:firstLine="422"/>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bookmarkStart w:id="4" w:name="_Toc155796360"/>
      <w:r>
        <w:rPr>
          <w:rFonts w:hint="eastAsia" w:ascii="宋体" w:hAnsi="宋体" w:eastAsia="宋体" w:cs="宋体"/>
          <w:b/>
          <w:color w:val="auto"/>
          <w:sz w:val="21"/>
          <w:szCs w:val="21"/>
          <w:highlight w:val="none"/>
        </w:rPr>
        <w:t xml:space="preserve">说明：本项目采购方式为公开招标，项目属性为</w:t>
      </w:r>
      <w:r>
        <w:rPr>
          <w:rFonts w:hint="eastAsia" w:ascii="宋体" w:hAnsi="宋体" w:eastAsia="宋体" w:cs="宋体"/>
          <w:b/>
          <w:color w:val="auto"/>
          <w:sz w:val="21"/>
          <w:szCs w:val="21"/>
          <w:highlight w:val="none"/>
          <w:u w:val="single"/>
        </w:rPr>
        <w:t xml:space="preserve">服务</w:t>
      </w:r>
      <w:r/>
    </w:p>
    <w:p>
      <w:pPr>
        <w:ind w:left="0" w:firstLine="422"/>
        <w:jc w:val="both"/>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b/>
          <w:bCs/>
          <w:color w:val="auto"/>
          <w:sz w:val="21"/>
          <w:szCs w:val="21"/>
          <w:highlight w:val="none"/>
        </w:rPr>
        <w:t xml:space="preserve">本项目需求中标注★号的款项为实质性要求和条件，由采购人根据实际情况设置，投标人必须逐条明确作出满足实质性要求和条件的响应，否则投标无效。</w:t>
      </w:r>
      <w:r>
        <w:rPr>
          <w:rFonts w:hint="eastAsia" w:ascii="宋体" w:hAnsi="宋体" w:eastAsia="宋体" w:cs="宋体"/>
          <w:b/>
          <w:bCs/>
          <w:color w:val="auto"/>
          <w:sz w:val="21"/>
          <w:szCs w:val="21"/>
          <w:highlight w:val="none"/>
          <w:lang w:val="en-US" w:eastAsia="zh-CN"/>
        </w:rPr>
        <w:t xml:space="preserve">带▲项为重要指标。</w:t>
      </w:r>
      <w:r/>
    </w:p>
    <w:p>
      <w:pPr>
        <w:pStyle w:val="986"/>
        <w:ind w:left="0" w:firstLine="422"/>
        <w:jc w:val="both"/>
        <w:keepLines w:val="0"/>
        <w:keepNext w:val="0"/>
        <w:pageBreakBefore w:val="0"/>
        <w:spacing w:before="0"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一、项目概述</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落实全省残疾儿童康复救助制度，完善残疾儿童基本康复服务体系建设，进一步规范残疾儿童基本康复服务，提升基本康复服务质量，依据《江苏省人民政府关于完善残疾儿童康复救助制度的实施意见》（苏政发〔2018〕129号）和《江苏省残疾儿童基本康复服务管理暂行办法》（苏残发〔2020〕23号），对2026年度残疾儿童基本康复训练服务项目进行招标，本次招标人数70人，具体人数以实际服务人数为准。</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二、</w:t>
      </w:r>
      <w:r>
        <w:rPr>
          <w:rFonts w:hint="eastAsia" w:ascii="宋体" w:hAnsi="宋体" w:eastAsia="宋体" w:cs="宋体"/>
          <w:b/>
          <w:bCs/>
          <w:color w:val="auto"/>
          <w:sz w:val="21"/>
          <w:szCs w:val="21"/>
          <w:highlight w:val="none"/>
        </w:rPr>
        <w:t xml:space="preserve">康复服务对象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基本康复服务对象，是指具有赣榆区户籍，有康复需求和康复意愿，经国内三级医院、县级以上残联指定的残疾评定机构或残疾评定专家组诊断评估有康复训练适应指征的（0-16岁）孤独症儿童。</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经国内三级医院相应科室副主任医师以上职称的医师诊断为孤独症，确需接受康复训练的儿童，由医院出具医学诊断证明书。医学诊断证明书须注明需要康复的类别，加盖医院诊断专用章。首次申请康复救助的医学诊断证明书，孤独症自开具之日起3年内有效。医学诊断证明书表述模糊不清、未注明需要康复类别的，县级以上残联应组织复筛复查。</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疑似残疾的发育功能障碍和孤独症儿童，其监护人可向户籍地县级残联申请残疾评定。符合残疾评定标准的，残疾评定表中应注明残疾类别和分级，由户籍地县级残联盖章确认。</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申请康复救助需提供残疾儿童户籍证明（身份证）资料、医学诊断证明书（残疾评定表、残疾人证）。</w:t>
      </w:r>
      <w:r/>
    </w:p>
    <w:p>
      <w:pPr>
        <w:numPr>
          <w:ilvl w:val="0"/>
          <w:numId w:val="0"/>
        </w:numPr>
        <w:ind w:left="0" w:firstLine="422"/>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rPr>
        <w:t xml:space="preserve">康复服务时间</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形式</w:t>
      </w:r>
      <w:r>
        <w:rPr>
          <w:rFonts w:hint="eastAsia" w:ascii="宋体" w:hAnsi="宋体" w:eastAsia="宋体" w:cs="宋体"/>
          <w:b/>
          <w:bCs/>
          <w:color w:val="auto"/>
          <w:sz w:val="21"/>
          <w:szCs w:val="21"/>
          <w:highlight w:val="none"/>
          <w:lang w:val="en-US" w:eastAsia="zh-CN"/>
        </w:rPr>
        <w:t xml:space="preserve">和地点</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★（一）服务时间</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为保证康复效果连续有效，残疾儿童基本康复服务应在机构内进行，年度基本康复时间不少于9个月。</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b w:val="0"/>
          <w:bCs w:val="0"/>
          <w:color w:val="auto"/>
          <w:sz w:val="21"/>
          <w:szCs w:val="21"/>
          <w:highlight w:val="none"/>
          <w:lang w:val="en-US" w:eastAsia="zh-CN"/>
        </w:rPr>
        <w:t xml:space="preserve">服务形式</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基本康复服务形式分全日制和非全日制两种类型，残疾儿童监护人可自主选择服务类型。</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非全日制是指残疾儿童在家庭、幼儿园、中小学的托幼照料、学前（学科）教育间隙，到定点机构接受以个性化服务支持为主的基本康复服务，每月12天（每周3天），每天1次1.5小时，其中个性化服务支持不少于1小时。</w:t>
      </w:r>
      <w:r/>
    </w:p>
    <w:p>
      <w:p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训练场地</w:t>
      </w:r>
      <w:r/>
    </w:p>
    <w:p>
      <w:pPr>
        <w:numPr>
          <w:ilvl w:val="0"/>
          <w:numId w:val="0"/>
        </w:numPr>
        <w:ind w:left="0" w:firstLine="420"/>
        <w:jc w:val="both"/>
        <w:keepLines w:val="0"/>
        <w:keepNext w:val="0"/>
        <w:pageBreakBefore w:val="0"/>
        <w:spacing w:line="360" w:lineRule="auto"/>
        <w:widowControl w:val="off"/>
        <w:tabs>
          <w:tab w:val="left" w:pos="900" w:leader="none"/>
        </w:tabs>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承诺中标后在项目所在地设置训练场地。</w:t>
      </w:r>
      <w:r/>
    </w:p>
    <w:p>
      <w:pPr>
        <w:ind w:left="0" w:firstLine="480"/>
        <w:jc w:val="both"/>
        <w:keepLines w:val="0"/>
        <w:keepNext w:val="0"/>
        <w:pageBreakBefore w:val="0"/>
        <w:spacing w:line="360" w:lineRule="auto"/>
        <w:widowControl w:val="off"/>
        <w:tabs>
          <w:tab w:val="left" w:pos="900" w:leader="none"/>
        </w:tabs>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四、服务技术要求：</w:t>
      </w:r>
      <w:r/>
    </w:p>
    <w:tbl>
      <w:tblPr>
        <w:tblStyle w:val="777"/>
        <w:tblW w:w="10198" w:type="dxa"/>
        <w:tblInd w:w="-2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762"/>
        <w:gridCol w:w="850"/>
        <w:gridCol w:w="7506"/>
        <w:gridCol w:w="1080"/>
      </w:tblGrid>
      <w:tr>
        <w:trPr>
          <w:trHeight w:val="428" w:hRule="exact"/>
          <w:tblHeader/>
        </w:trPr>
        <w:tc>
          <w:tcPr>
            <w:gridSpan w:val="2"/>
            <w:tcW w:w="1612" w:type="dxa"/>
            <w:vAlign w:val="center"/>
            <w:textDirection w:val="lrTb"/>
            <w:noWrap w:val="false"/>
          </w:tcPr>
          <w:p>
            <w:pPr>
              <w:jc w:val="center"/>
              <w:spacing w:line="28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项  目</w:t>
            </w:r>
            <w:r/>
          </w:p>
        </w:tc>
        <w:tc>
          <w:tcPr>
            <w:tcW w:w="7506"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规范内容</w:t>
            </w:r>
            <w:r/>
          </w:p>
        </w:tc>
        <w:tc>
          <w:tcPr>
            <w:tcW w:w="1080"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备注</w:t>
            </w:r>
            <w:r/>
          </w:p>
        </w:tc>
      </w:tr>
      <w:tr>
        <w:trPr>
          <w:trHeight w:val="499" w:hRule="exact"/>
          <w:tblHeader/>
        </w:trPr>
        <w:tc>
          <w:tcPr>
            <w:tcW w:w="762"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一级</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指标</w:t>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二级</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指标</w:t>
            </w:r>
            <w:r/>
          </w:p>
        </w:tc>
        <w:tc>
          <w:tcPr>
            <w:tcW w:w="7506" w:type="dxa"/>
            <w:vAlign w:val="center"/>
            <w:vMerge w:val="continue"/>
            <w:textDirection w:val="lrTb"/>
            <w:noWrap w:val="false"/>
          </w:tcPr>
          <w:p>
            <w:pPr>
              <w:jc w:val="left"/>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108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r>
      <w:tr>
        <w:trPr>
          <w:trHeight w:val="1774"/>
        </w:trPr>
        <w:tc>
          <w:tcPr>
            <w:tcW w:w="762"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建设</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标准</w:t>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消防</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达标</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符合国家《建筑防火通用规范》（GB55037-2022）中关于“儿童活动场所”住建部第51号令)规定，儿童室内活动场所总建筑面积大于1000平方米以上的机构，竣工后应取得建设工程消防验收合格意见书；儿童室内活动场所总建筑面积1000平方米以下的机构，应在建设工程竣工验收合格之日起五个工作日内，向消防设计审查验收主管部门备案，并取得备案合格凭证。</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964"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建设</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要求</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机构规划布局、建设规模和建设面积执行《残疾人康复机构建设标准》（建标165－2013）中关于“选址与规划布局”和“建设规模与建筑面积指标”的相关规定。</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960"/>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1.3</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环境</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要求</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2.生活用房应设在建筑的底层，设有独立出入口；有独立的室外活动场地。生活用房和室外场地与其他建筑部分采取隔离措施，配备防止物体坠落设施，光照充足，通风良好。</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w:t>
            </w:r>
            <w:r/>
          </w:p>
        </w:tc>
      </w:tr>
      <w:tr>
        <w:trPr>
          <w:trHeight w:val="1840"/>
        </w:trPr>
        <w:tc>
          <w:tcPr>
            <w:tcW w:w="762"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内部</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管理</w:t>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资质</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要求</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在相关业务主管部门注册，具有独立法人资格，包括事业单位法人资质的医疗机构、教育机构、残疾人康复机构；企业法人资质的服务机构；民办非企业单位法人资质的社会服务机构。业务范围包括孤独症儿童康复训练服务相关内容。</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2.2.从事教育康复应有所属地</w:t>
            </w:r>
            <w:r>
              <w:rPr>
                <w:rFonts w:hint="eastAsia" w:ascii="宋体" w:hAnsi="宋体" w:eastAsia="宋体" w:cs="宋体"/>
                <w:color w:val="auto"/>
                <w:sz w:val="18"/>
                <w:szCs w:val="18"/>
                <w:highlight w:val="none"/>
              </w:rPr>
              <w:t xml:space="preserve">教育行政部门颁发的办学许可证或有当地特殊教育指导中心确定的公办学校合作开展康教融合服务的协议，从事医疗康复应取得《医疗机构执业许可证》或《诊所备案证》。</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819"/>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制度</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管理</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具备岗位职责、业务管理、人力资源管理、财务管理、突发事件应急预案、信息管理、服务项目及收费标准等信息公示，有年度自查的总结报告。</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763"/>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2.3</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绩效</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审计</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接受业务主管部门财务检查和年度审计，经县级以上残联会同财政部门年度康复服务项目绩效考核合格以上。</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901"/>
        </w:trPr>
        <w:tc>
          <w:tcPr>
            <w:tcW w:w="762"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设施</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设备</w:t>
            </w:r>
            <w:r/>
          </w:p>
        </w:tc>
        <w:tc>
          <w:tcPr>
            <w:tcW w:w="850"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训练</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场地</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应设置咨询接待(评估)室、集体（组别）训练教室、运动（感统）训练室、生活自理训练室、个训教室、档案室。有可利用的室外活动场地，无障碍建设和设施完备。业务用房面积不少于建筑总面的60%。</w:t>
            </w:r>
            <w:r/>
          </w:p>
        </w:tc>
        <w:tc>
          <w:tcPr>
            <w:tcW w:w="1080" w:type="dxa"/>
            <w:vAlign w:val="center"/>
            <w:vMerge w:val="restart"/>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▲提供房产证面积或平面图或相关能证明符合要求的证明材料</w:t>
            </w:r>
            <w:r/>
          </w:p>
        </w:tc>
      </w:tr>
      <w:tr>
        <w:trPr>
          <w:trHeight w:val="567"/>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咨询接待(评估)室至少1间,面积不小于15平方米。</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67"/>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集体（组别）训练教室按1:20的比例标准设置，至少1间，内设游戏活动区,每间不小于30平方米。</w:t>
            </w:r>
            <w:r/>
          </w:p>
        </w:tc>
        <w:tc>
          <w:tcPr>
            <w:tcW w:w="1080" w:type="dxa"/>
            <w:vAlign w:val="center"/>
            <w:vMerge w:val="restart"/>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▲提供房产证面积或平面图或相关能证明符合要求的证明材料</w:t>
            </w:r>
            <w:r/>
          </w:p>
        </w:tc>
      </w:tr>
      <w:tr>
        <w:trPr>
          <w:trHeight w:val="518"/>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运动（感统）训练室至少1间,面积不小于50平方米。</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67"/>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生活自理能力训练区,包括洗漱、就餐、更衣、如厕等区域，可结合机构日常生活环境设置。</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67"/>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个训教室数量与收训儿童人数按1:5的比例标准设置，每间面积应不小于8平方米。</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67"/>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室外活动场地面积按人均2平方米标准设置，建有与孤独症儿童相适应的运动器材和游戏娱乐设施，室外场地应独立，设有安全提示标志和安全设施，确保无安全隐患。</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054"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训练</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设备</w:t>
            </w:r>
            <w:r/>
          </w:p>
        </w:tc>
        <w:tc>
          <w:tcPr>
            <w:tcW w:w="7506" w:type="dxa"/>
            <w:vAlign w:val="center"/>
            <w:textDirection w:val="lrTb"/>
            <w:noWrap w:val="false"/>
          </w:tcPr>
          <w:p>
            <w:pPr>
              <w:spacing w:line="260" w:lineRule="exact"/>
              <w:rPr>
                <w:rFonts w:hint="eastAsia" w:ascii="宋体" w:hAnsi="宋体" w:eastAsia="宋体" w:cs="宋体"/>
                <w:color w:val="000000" w:themeColor="text1"/>
                <w:spacing w:val="-4"/>
                <w:sz w:val="18"/>
                <w:szCs w:val="18"/>
                <w:highlight w:val="none"/>
                <w14:textFill>
                  <w14:solidFill>
                    <w14:schemeClr w14:val="tx1"/>
                  </w14:solidFill>
                </w14:textFill>
              </w:rPr>
            </w:pPr>
            <w:r>
              <w:rPr>
                <w:rFonts w:hint="eastAsia" w:ascii="宋体" w:hAnsi="宋体" w:eastAsia="宋体" w:cs="宋体"/>
                <w:color w:val="000000" w:themeColor="text1"/>
                <w:spacing w:val="-4"/>
                <w:sz w:val="18"/>
                <w:szCs w:val="18"/>
                <w:highlight w:val="none"/>
                <w14:textFill>
                  <w14:solidFill>
                    <w14:schemeClr w14:val="tx1"/>
                  </w14:solidFill>
                </w14:textFill>
              </w:rPr>
              <w:t xml:space="preserve">具备基本康复评估工具，包括心理教育评估表（PEP－3）/C－PEP-3/孤独症儿童发展评估表（C－PEP）、语言行为里程碑评估及安置程序（VB－MAPP）、婴儿-初中生社会生活量表/儿童适应行为评定量表/Gesell发育量表。</w:t>
            </w:r>
            <w:r/>
          </w:p>
        </w:tc>
        <w:tc>
          <w:tcPr>
            <w:tcW w:w="1080" w:type="dxa"/>
            <w:vAlign w:val="center"/>
            <w:vMerge w:val="restart"/>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▲提供设备器材照片等证明材</w:t>
            </w:r>
            <w:r>
              <w:rPr>
                <w:rFonts w:hint="eastAsia" w:ascii="宋体" w:hAnsi="宋体" w:eastAsia="宋体" w:cs="宋体"/>
                <w:sz w:val="21"/>
                <w:szCs w:val="21"/>
              </w:rPr>
              <w:t xml:space="preserve">料</w:t>
            </w:r>
            <w:r/>
          </w:p>
        </w:tc>
      </w:tr>
      <w:tr>
        <w:trPr>
          <w:trHeight w:val="943"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基本训练设备：滑板车、大滑板、吊筒、钻滚筒、羊角球、大龙球、布袋跳、触觉球、按摩地垫、平衡木、平衡踩踏车、万象组合包、精细运动训练玩具等。</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73"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教学设备：配备儿童的课桌椅、大小黑（白）板、多媒体教学器材；适合儿童特点的挂图、卡片、音乐、游戏等教玩具。</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568"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其它设备：按人均4件的标准配备符合儿童训练特点的各类玩具和图书。配备家长培训所需的教学设备。</w:t>
            </w:r>
            <w:r/>
          </w:p>
        </w:tc>
        <w:tc>
          <w:tcPr>
            <w:tcW w:w="1080" w:type="dxa"/>
            <w:vAlign w:val="center"/>
            <w:vMerge w:val="continue"/>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703" w:hRule="exact"/>
        </w:trPr>
        <w:tc>
          <w:tcPr>
            <w:tcW w:w="762"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机构</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管理</w:t>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人员</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配备</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配备康复业务主管、教师、康复治疗师（行为分析师、言语治疗师、作业治疗师）、保育员、保健医生等工作人员。</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998"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人员</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组成</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个训教师与残疾儿童比例应不低于1:8。</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康复治疗师与残疾儿童的比例应不低于1:15。</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业务主管、教师、康复治疗师不低于机构内职工总数的70%。</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2915"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4.3</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资历</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要求</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1.业务主管具有教育、医疗、康复、心理等相关专业大专以上学历。有3年以上儿童康复训练的服务经验。</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2.教师取得资格证、具有学前教育、特殊教育等相关专业大专以上学历。应全部接受过孤独症康复教育的岗前培训。</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3.康复治疗师具有康复治疗专业大专以上学历。取得资格证或经过相关业务培训。</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4.每年不少于30%康复专业技术人员参加市级以上组织的规范化培训不少于21个学时。</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5.保育员、保健医生配置参照《幼儿园教职工配备标准（暂行）》和《托儿所幼儿园卫生保健工作规范》执行。</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6.机构所有工作人员根据岗位要求取得健康证明。</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▲提供相对应人员相关证明材料</w:t>
            </w:r>
            <w:r/>
          </w:p>
        </w:tc>
      </w:tr>
      <w:tr>
        <w:trPr>
          <w:trHeight w:val="691" w:hRule="exact"/>
        </w:trPr>
        <w:tc>
          <w:tcPr>
            <w:tcW w:w="762"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业务</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功能</w:t>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5.1</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部门</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设置</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设置教学评估/医疗评估，康复训练、教育培训、后勤保障、行政办公等部门。</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356"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restart"/>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5.2</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服务</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能力</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1.具有同时收训20名以上孤独症儿童的能力。</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残联系统从事残疾儿童康复服务的助残机构；教育系统建有学前融合教育资源中心的学前教育机构和特殊教育学校；民政系统开设有儿童康复专科或特教办学点的儿童福利机构；卫健系统县级在上妇幼保健所等公益一类事业单位，不设人数下限。</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867"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康复训练：年度机构内基本康复服务时间不少于9个月。服务内容包括社会交往与沟通、认知与感知、运动、生活自理、兴趣与行为、情绪管理和社会融合活动。</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全日制康复服务每天4小时（当月法定工作（学习）日），课程设置应符合残疾儿童个性特征，每天个性化服务支持不少于1节课40分钟。</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非全日制康复服务每月12天（每周3天），每天1次1.5小时，其中个训化服务支持不少于1小时。</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949"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支持性服务：为受训儿童及家长提供家庭康复指导、心理辅导、政策咨询、知识普及等支持性服务。康复知识个别化讲解和康复训练指导根据实际需要为家长提供，集中培训活动每两月不少于1次，每次不少于1小时。</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689"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残疾儿童年度康复训练前、训练中、训练后应进行康复效能评估,每年不少于3次。</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607"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室外活动场地面积按人均2平方米标准设置，建有与孤独症儿童相适应的运动器材和游戏娱乐设施，室外场地应独立，设有安全提示标志和安全设施。</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965"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5.3</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工作</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台账</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1.康复训练档案齐全，包括残疾儿童康复服务登记表、初始状态评估表、康复训练计划、康复训练日志、阶段性评估表、训练出勤表；</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2.《残疾儿童康复救助平台》数据录入及时、准确、完备。</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006"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5.4</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家长</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培训</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1.定期向家长提供每年不少于4次的相关培训，并有相关书面和视频记录；</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2.家长了解在社区和家庭环境中进行康复训练的目标； </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3.家长掌握基本康复训练的流程和组织实施方法。</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1894"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5.5</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业务</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指导</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1.开展儿童转介或跟踪服务；</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2.面向社区提供家庭康复延伸的培训；</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3.根据服务对象特点提供指导服务、派发相关宣传资料；</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4.结合“孤独症日”“全国助残日”等专题日，参与公益活动，每年不少于2次；</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5.对于康复效果明显，符合入园、入学条件的儿童，及时动员家长办理入园、入学手续，并跟踪进行康复服务指导。</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r>
        <w:trPr>
          <w:trHeight w:val="888" w:hRule="exact"/>
        </w:trPr>
        <w:tc>
          <w:tcPr>
            <w:tcW w:w="762" w:type="dxa"/>
            <w:vAlign w:val="center"/>
            <w:vMerge w:val="continue"/>
            <w:textDirection w:val="lrTb"/>
            <w:noWrap w:val="false"/>
          </w:tcPr>
          <w:p>
            <w:pPr>
              <w:jc w:val="center"/>
              <w:spacing w:line="22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r>
            <w:r/>
          </w:p>
        </w:tc>
        <w:tc>
          <w:tcPr>
            <w:tcW w:w="850" w:type="dxa"/>
            <w:vAlign w:val="center"/>
            <w:textDirection w:val="lrTb"/>
            <w:noWrap w:val="false"/>
          </w:tcPr>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5.6</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质量</w:t>
            </w:r>
            <w:r/>
          </w:p>
          <w:p>
            <w:pPr>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控制</w:t>
            </w:r>
            <w:r/>
          </w:p>
        </w:tc>
        <w:tc>
          <w:tcPr>
            <w:tcW w:w="7506" w:type="dxa"/>
            <w:vAlign w:val="center"/>
            <w:textDirection w:val="lrTb"/>
            <w:noWrap w:val="false"/>
          </w:tcPr>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1.有需求残疾儿童康复评估、训练建档率100%；</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2.家长满意度达90%以上；</w:t>
            </w:r>
            <w:r/>
          </w:p>
          <w:p>
            <w:pPr>
              <w:spacing w:line="26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 xml:space="preserve">3.组织残疾儿童参加社会融合活动每年不少于4次。</w:t>
            </w:r>
            <w:r/>
          </w:p>
        </w:tc>
        <w:tc>
          <w:tcPr>
            <w:tcW w:w="1080" w:type="dxa"/>
            <w:vAlign w:val="center"/>
            <w:textDirection w:val="lrTb"/>
            <w:noWrap w:val="false"/>
          </w:tcPr>
          <w:p>
            <w:pPr>
              <w:ind w:firstLine="36"/>
              <w:jc w:val="center"/>
              <w:spacing w:line="220" w:lineRule="exac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tc>
      </w:tr>
    </w:tbl>
    <w:p>
      <w:pPr>
        <w:pStyle w:val="783"/>
        <w:spacing w:before="11"/>
        <w:rPr>
          <w:rFonts w:hint="eastAsia" w:ascii="宋体" w:hAnsi="宋体" w:eastAsia="宋体" w:cs="宋体"/>
          <w:sz w:val="3"/>
        </w:rPr>
        <w:pBdr>
          <w:top w:val="single" w:color="auto" w:sz="4" w:space="1"/>
        </w:pBdr>
      </w:pPr>
      <w:r>
        <w:rPr>
          <w:rFonts w:hint="eastAsia" w:ascii="宋体" w:hAnsi="宋体" w:eastAsia="宋体" w:cs="宋体"/>
          <w:sz w:val="3"/>
        </w:rPr>
      </w:r>
      <w:r/>
    </w:p>
    <w:p>
      <w:pPr>
        <w:pStyle w:val="985"/>
        <w:numPr>
          <w:ilvl w:val="0"/>
          <w:numId w:val="3"/>
        </w:numPr>
        <w:ind w:left="0" w:firstLine="418"/>
        <w:jc w:val="both"/>
        <w:keepLines w:val="0"/>
        <w:keepNext w:val="0"/>
        <w:pageBreakBefore w:val="0"/>
        <w:spacing w:line="360" w:lineRule="auto"/>
        <w:widowControl w:val="off"/>
        <w:rPr>
          <w:rFonts w:hint="eastAsia" w:ascii="宋体" w:hAnsi="宋体" w:eastAsia="宋体" w:cs="宋体"/>
          <w:b/>
          <w:bCs/>
          <w:spacing w:val="-1"/>
          <w:sz w:val="21"/>
          <w:szCs w:val="21"/>
          <w:lang w:val="en-US" w:eastAsia="zh-CN" w:bidi="ar-SA"/>
        </w:rPr>
        <w:outlineLvl w:val="9"/>
      </w:pPr>
      <w:r>
        <w:rPr>
          <w:rFonts w:hint="eastAsia" w:ascii="宋体" w:hAnsi="宋体" w:eastAsia="宋体" w:cs="宋体"/>
          <w:b/>
          <w:bCs/>
          <w:spacing w:val="-1"/>
          <w:sz w:val="21"/>
          <w:szCs w:val="21"/>
          <w:lang w:val="en-US" w:eastAsia="zh-CN" w:bidi="ar-SA"/>
        </w:rPr>
        <w:t xml:space="preserve">商务条款</w:t>
      </w:r>
      <w:r/>
    </w:p>
    <w:p>
      <w:pPr>
        <w:pStyle w:val="985"/>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★合同履行期限(服务期):一年(</w:t>
      </w:r>
      <w:r>
        <w:rPr>
          <w:rFonts w:hint="eastAsia" w:ascii="宋体" w:hAnsi="宋体" w:eastAsia="宋体" w:cs="宋体"/>
          <w:b w:val="0"/>
          <w:bCs w:val="0"/>
          <w:color w:val="auto"/>
          <w:sz w:val="21"/>
          <w:szCs w:val="21"/>
          <w:highlight w:val="none"/>
        </w:rPr>
        <w:t xml:space="preserve">合同约定日期起算</w:t>
      </w:r>
      <w:r>
        <w:rPr>
          <w:rFonts w:hint="eastAsia" w:ascii="宋体" w:hAnsi="宋体" w:eastAsia="宋体" w:cs="宋体"/>
          <w:b w:val="0"/>
          <w:bCs w:val="0"/>
          <w:spacing w:val="-1"/>
          <w:sz w:val="21"/>
          <w:szCs w:val="21"/>
          <w:lang w:val="en-US" w:eastAsia="zh-CN" w:bidi="ar-SA"/>
        </w:rPr>
        <w:t xml:space="preserve">)。</w:t>
      </w:r>
      <w:r/>
    </w:p>
    <w:p>
      <w:pPr>
        <w:pStyle w:val="985"/>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服务质量:合格，满足采购人需求及相关规定。</w:t>
      </w:r>
      <w:r/>
    </w:p>
    <w:p>
      <w:pPr>
        <w:pStyle w:val="985"/>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服务地点:赣榆区</w:t>
      </w:r>
      <w:r/>
    </w:p>
    <w:p>
      <w:pPr>
        <w:pStyle w:val="985"/>
        <w:numPr>
          <w:ilvl w:val="0"/>
          <w:numId w:val="3"/>
        </w:numPr>
        <w:ind w:left="0"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付款方式与履约保证金:</w:t>
      </w:r>
      <w:r/>
    </w:p>
    <w:p>
      <w:pPr>
        <w:pStyle w:val="985"/>
        <w:numPr>
          <w:ilvl w:val="0"/>
          <w:numId w:val="0"/>
        </w:num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★1.付款方式:</w:t>
      </w:r>
      <w:r/>
    </w:p>
    <w:p>
      <w:pPr>
        <w:ind w:firstLine="416"/>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pacing w:val="-1"/>
          <w:sz w:val="21"/>
          <w:szCs w:val="21"/>
          <w:lang w:val="en-US" w:eastAsia="zh-CN" w:bidi="ar-SA"/>
        </w:rPr>
        <w:t xml:space="preserve">（1）</w:t>
      </w:r>
      <w:r>
        <w:rPr>
          <w:rFonts w:hint="eastAsia" w:ascii="宋体" w:hAnsi="宋体" w:eastAsia="宋体" w:cs="宋体"/>
          <w:color w:val="auto"/>
          <w:sz w:val="21"/>
          <w:szCs w:val="21"/>
          <w:highlight w:val="none"/>
        </w:rPr>
        <w:t xml:space="preserve">采购人委托第三方机构按相关文件规定进行评估考核，结合日常、定期考核情况，每季度形成综合考核评估报告，根据考核结果，按照服务经费标准及实际服务人数每季度进行结算(无息)。</w:t>
      </w:r>
      <w:r/>
    </w:p>
    <w:p>
      <w:pPr>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w:t>
      </w:r>
      <w:r>
        <w:rPr>
          <w:rFonts w:hint="eastAsia" w:ascii="宋体" w:hAnsi="宋体" w:eastAsia="宋体" w:cs="宋体"/>
          <w:color w:val="auto"/>
          <w:sz w:val="21"/>
          <w:szCs w:val="21"/>
          <w:highlight w:val="none"/>
        </w:rPr>
        <w:t xml:space="preserve">每次付款前乙方应向甲方开具正规发票，甲方自收到发票后10个工作日内将资金支付至合同约定的乙方账户 (发票开具日期计算)。</w:t>
      </w:r>
      <w:r/>
    </w:p>
    <w:p>
      <w:pPr>
        <w:pStyle w:val="783"/>
        <w:ind w:firstLine="416"/>
        <w:jc w:val="both"/>
        <w:keepLines w:val="0"/>
        <w:keepNext w:val="0"/>
        <w:pageBreakBefore w:val="0"/>
        <w:spacing w:line="360" w:lineRule="auto"/>
        <w:widowControl w:val="off"/>
        <w:rPr>
          <w:rFonts w:hint="eastAsia" w:ascii="宋体" w:hAnsi="宋体" w:eastAsia="宋体" w:cs="宋体"/>
          <w:b w:val="0"/>
          <w:bCs w:val="0"/>
          <w:spacing w:val="-1"/>
          <w:sz w:val="21"/>
          <w:szCs w:val="21"/>
          <w:lang w:val="en-US" w:eastAsia="zh-CN" w:bidi="ar-SA"/>
        </w:rPr>
        <w:outlineLvl w:val="9"/>
      </w:pPr>
      <w:r>
        <w:rPr>
          <w:rFonts w:hint="eastAsia" w:ascii="宋体" w:hAnsi="宋体" w:eastAsia="宋体" w:cs="宋体"/>
          <w:b w:val="0"/>
          <w:bCs w:val="0"/>
          <w:spacing w:val="-1"/>
          <w:sz w:val="21"/>
          <w:szCs w:val="21"/>
          <w:lang w:val="en-US" w:eastAsia="zh-CN" w:bidi="ar-SA"/>
        </w:rPr>
        <w:t xml:space="preserve">2.履约保证金：本项目不收取履约保证金。</w:t>
      </w:r>
      <w:r/>
    </w:p>
    <w:p>
      <w:pPr>
        <w:pStyle w:val="767"/>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r>
      <w:r/>
    </w:p>
    <w:p>
      <w:pPr>
        <w:pStyle w:val="819"/>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r>
      <w:r/>
    </w:p>
    <w:p>
      <w:pPr>
        <w:pStyle w:val="819"/>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r>
      <w:r/>
    </w:p>
    <w:p>
      <w:pPr>
        <w:pStyle w:val="819"/>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r>
      <w:r/>
    </w:p>
    <w:p>
      <w:pPr>
        <w:pStyle w:val="819"/>
        <w:rPr>
          <w:rFonts w:hint="eastAsia" w:ascii="宋体" w:hAnsi="宋体" w:eastAsia="宋体" w:cs="宋体"/>
          <w:b w:val="0"/>
        </w:rPr>
      </w:pPr>
      <w:r>
        <w:rPr>
          <w:rFonts w:hint="eastAsia" w:ascii="宋体" w:hAnsi="宋体" w:eastAsia="宋体" w:cs="宋体"/>
          <w:b w:val="0"/>
        </w:rPr>
      </w:r>
      <w:r/>
    </w:p>
    <w:p>
      <w:pPr>
        <w:rPr>
          <w:rFonts w:hint="eastAsia" w:ascii="宋体" w:hAnsi="宋体" w:eastAsia="宋体" w:cs="宋体"/>
          <w:b w:val="0"/>
        </w:rPr>
      </w:pPr>
      <w:r>
        <w:rPr>
          <w:rFonts w:hint="eastAsia" w:ascii="宋体" w:hAnsi="宋体" w:eastAsia="宋体" w:cs="宋体"/>
          <w:b w:val="0"/>
        </w:rPr>
      </w:r>
      <w:r/>
    </w:p>
    <w:p>
      <w:pPr>
        <w:pStyle w:val="819"/>
        <w:rPr>
          <w:rFonts w:hint="eastAsia" w:ascii="宋体" w:hAnsi="宋体" w:eastAsia="宋体" w:cs="宋体"/>
          <w:b w:val="0"/>
        </w:rPr>
      </w:pPr>
      <w:r>
        <w:rPr>
          <w:rFonts w:hint="eastAsia" w:ascii="宋体" w:hAnsi="宋体" w:eastAsia="宋体" w:cs="宋体"/>
          <w:b w:val="0"/>
        </w:rPr>
      </w:r>
      <w:r/>
    </w:p>
    <w:p>
      <w:pPr>
        <w:rPr>
          <w:rFonts w:hint="eastAsia"/>
        </w:rPr>
      </w:pPr>
      <w:r>
        <w:rPr>
          <w:rFonts w:hint="eastAsia"/>
        </w:rPr>
      </w:r>
      <w:r/>
    </w:p>
    <w:p>
      <w:pPr>
        <w:pStyle w:val="819"/>
        <w:rPr>
          <w:rFonts w:hint="eastAsia"/>
        </w:rPr>
      </w:pPr>
      <w:r>
        <w:rPr>
          <w:rFonts w:hint="eastAsia"/>
        </w:rPr>
      </w:r>
      <w:r/>
    </w:p>
    <w:p>
      <w:pPr>
        <w:rPr>
          <w:rFonts w:hint="eastAsia"/>
        </w:rPr>
      </w:pPr>
      <w:r>
        <w:rPr>
          <w:rFonts w:hint="eastAsia"/>
        </w:rPr>
      </w:r>
      <w:r/>
    </w:p>
    <w:p>
      <w:pPr>
        <w:pStyle w:val="819"/>
        <w:rPr>
          <w:rFonts w:hint="eastAsia"/>
        </w:rPr>
      </w:pPr>
      <w:r>
        <w:rPr>
          <w:rFonts w:hint="eastAsia"/>
        </w:rPr>
      </w:r>
      <w:r/>
    </w:p>
    <w:p>
      <w:pPr>
        <w:rPr>
          <w:rFonts w:hint="eastAsia"/>
        </w:rPr>
      </w:pPr>
      <w:r>
        <w:rPr>
          <w:rFonts w:hint="eastAsia"/>
        </w:rPr>
      </w:r>
      <w:r/>
    </w:p>
    <w:p>
      <w:pPr>
        <w:pStyle w:val="819"/>
        <w:rPr>
          <w:rFonts w:hint="eastAsia"/>
        </w:rPr>
      </w:pPr>
      <w:r>
        <w:rPr>
          <w:rFonts w:hint="eastAsia"/>
        </w:rPr>
      </w:r>
      <w:r/>
    </w:p>
    <w:p>
      <w:pPr>
        <w:rPr>
          <w:rFonts w:hint="eastAsia"/>
        </w:rPr>
      </w:pPr>
      <w:r>
        <w:rPr>
          <w:rFonts w:hint="eastAsia"/>
        </w:rPr>
      </w:r>
      <w:r/>
    </w:p>
    <w:p>
      <w:pPr>
        <w:pStyle w:val="819"/>
        <w:rPr>
          <w:rFonts w:hint="eastAsia"/>
        </w:rPr>
      </w:pPr>
      <w:r>
        <w:rPr>
          <w:rFonts w:hint="eastAsia"/>
        </w:rPr>
      </w:r>
      <w:r/>
    </w:p>
    <w:p>
      <w:pPr>
        <w:rPr>
          <w:rFonts w:hint="eastAsia"/>
        </w:rPr>
      </w:pPr>
      <w:r>
        <w:rPr>
          <w:rFonts w:hint="eastAsia"/>
        </w:rPr>
      </w:r>
      <w:r/>
    </w:p>
    <w:p>
      <w:pPr>
        <w:pStyle w:val="81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19"/>
        <w:rPr>
          <w:rFonts w:hint="eastAsia"/>
        </w:rPr>
      </w:pPr>
      <w:r>
        <w:rPr>
          <w:rFonts w:hint="eastAsia"/>
        </w:rPr>
      </w:r>
      <w:r/>
    </w:p>
    <w:p>
      <w:pPr>
        <w:pStyle w:val="802"/>
        <w:ind w:left="0" w:firstLine="0"/>
        <w:rPr>
          <w:rFonts w:hint="eastAsia" w:ascii="宋体" w:hAnsi="宋体" w:eastAsia="宋体" w:cs="宋体"/>
        </w:rPr>
      </w:pPr>
      <w:r>
        <w:rPr>
          <w:rFonts w:hint="eastAsia" w:ascii="宋体" w:hAnsi="宋体" w:eastAsia="宋体" w:cs="宋体"/>
        </w:rPr>
      </w:r>
      <w:r/>
    </w:p>
    <w:p>
      <w:pPr>
        <w:pStyle w:val="767"/>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t xml:space="preserve">第五章  评标方法与评标标准</w:t>
      </w:r>
      <w:bookmarkEnd w:id="4"/>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一、评标方法：综合评分法</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综合评分法，是指投标文件满足招标文件全部实质性要求，且按照评审因素的量化指标评审得分最高的投标人为中标候选人的评标办法。</w:t>
      </w:r>
      <w:r/>
    </w:p>
    <w:p>
      <w:pPr>
        <w:ind w:firstLine="482"/>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二、评标原则</w:t>
      </w:r>
      <w:r>
        <w:rPr>
          <w:rFonts w:hint="eastAsia" w:ascii="宋体" w:hAnsi="宋体" w:eastAsia="宋体" w:cs="宋体"/>
          <w:color w:val="auto"/>
          <w:sz w:val="21"/>
          <w:szCs w:val="21"/>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三、评标标准：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1、评标时，评标委员会以招标文件为评标依据，评标委员会各成员独立对每个投标人的投标文件进行评价，并汇总每个投标人的得分。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2、本项目评分总分为100分，按四舍五入取至小数点后两位。</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3、总得分=价格分+商务技术分</w:t>
      </w:r>
      <w:r/>
    </w:p>
    <w:p>
      <w:pPr>
        <w:ind w:firstLine="48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标准：评标结果按评审后得分由高到低顺序排列。得分相同的，按投标报价由低到高顺序排列。得分且投标报价相同的，按技术指标优劣顺序排列。得分相同投标报价和技术指标优劣得分也相同的，按服务方案得分由高到低顺序排列。</w:t>
      </w:r>
      <w:r/>
    </w:p>
    <w:p>
      <w:pPr>
        <w:pStyle w:val="987"/>
        <w:ind w:left="734" w:hanging="343"/>
        <w:jc w:val="center"/>
        <w:spacing w:line="360" w:lineRule="auto"/>
        <w:tabs>
          <w:tab w:val="left" w:pos="720" w:leader="none"/>
        </w:tabs>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综合评分法</w:t>
      </w:r>
      <w:r/>
    </w:p>
    <w:p>
      <w:pPr>
        <w:pStyle w:val="987"/>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1、价格分：0分</w:t>
      </w:r>
      <w:r/>
    </w:p>
    <w:p>
      <w:pPr>
        <w:pStyle w:val="987"/>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执行统一价格标准的项目，其价格不列为评分因素。</w:t>
      </w:r>
      <w:r/>
    </w:p>
    <w:p>
      <w:pPr>
        <w:pStyle w:val="987"/>
        <w:numPr>
          <w:ilvl w:val="0"/>
          <w:numId w:val="0"/>
        </w:numPr>
        <w:ind w:firstLine="420"/>
        <w:jc w:val="both"/>
        <w:spacing w:line="360" w:lineRule="auto"/>
        <w:tabs>
          <w:tab w:val="left" w:pos="720" w:leader="none"/>
        </w:tabs>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2、商务技术分：100分</w:t>
      </w:r>
      <w:r/>
    </w:p>
    <w:tbl>
      <w:tblPr>
        <w:tblStyle w:val="988"/>
        <w:tblW w:w="10170" w:type="dxa"/>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20"/>
        <w:gridCol w:w="660"/>
        <w:gridCol w:w="8490"/>
      </w:tblGrid>
      <w:tr>
        <w:trPr>
          <w:trHeight w:val="520"/>
        </w:trPr>
        <w:tc>
          <w:tcPr>
            <w:tcW w:w="1020"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评审因素</w:t>
            </w:r>
            <w:r/>
          </w:p>
        </w:tc>
        <w:tc>
          <w:tcPr>
            <w:tcW w:w="660"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6"/>
                <w:sz w:val="21"/>
                <w:szCs w:val="21"/>
                <w:highlight w:val="none"/>
              </w:rPr>
              <w:t xml:space="preserve">分数</w:t>
            </w:r>
            <w:r/>
          </w:p>
        </w:tc>
        <w:tc>
          <w:tcPr>
            <w:tcW w:w="8490" w:type="dxa"/>
            <w:textDirection w:val="lrTb"/>
            <w:noWrap w:val="false"/>
          </w:tcPr>
          <w:p>
            <w:pPr>
              <w:jc w:val="center"/>
              <w:spacing w:before="225" w:line="185"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评审标准</w:t>
            </w:r>
            <w:r/>
          </w:p>
        </w:tc>
      </w:tr>
      <w:tr>
        <w:trPr>
          <w:trHeight w:val="520"/>
        </w:trPr>
        <w:tc>
          <w:tcPr>
            <w:gridSpan w:val="3"/>
            <w:tcW w:w="10170" w:type="dxa"/>
            <w:textDirection w:val="lrTb"/>
            <w:noWrap w:val="false"/>
          </w:tcPr>
          <w:p>
            <w:pPr>
              <w:jc w:val="center"/>
              <w:spacing w:before="225" w:line="185" w:lineRule="auto"/>
              <w:widowControl/>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商务分（72分）</w:t>
            </w:r>
            <w:r/>
          </w:p>
        </w:tc>
      </w:tr>
      <w:tr>
        <w:trPr>
          <w:trHeight w:val="90"/>
        </w:trPr>
        <w:tc>
          <w:tcPr>
            <w:tcW w:w="1020" w:type="dxa"/>
            <w:vAlign w:val="center"/>
            <w:textDirection w:val="lrTb"/>
            <w:noWrap w:val="false"/>
          </w:tcPr>
          <w:p>
            <w:pPr>
              <w:jc w:val="center"/>
              <w:spacing w:before="69" w:line="184" w:lineRule="auto"/>
              <w:widowControl/>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服务要求</w:t>
            </w:r>
            <w:r/>
          </w:p>
          <w:p>
            <w:pPr>
              <w:jc w:val="center"/>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9"/>
                <w:sz w:val="21"/>
                <w:szCs w:val="21"/>
                <w:highlight w:val="none"/>
              </w:rPr>
              <w:t xml:space="preserve">响应</w:t>
            </w:r>
            <w:r/>
          </w:p>
        </w:tc>
        <w:tc>
          <w:tcPr>
            <w:tcW w:w="660" w:type="dxa"/>
            <w:vAlign w:val="center"/>
            <w:textDirection w:val="lrTb"/>
            <w:noWrap w:val="false"/>
          </w:tcPr>
          <w:p>
            <w:pPr>
              <w:jc w:val="center"/>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3"/>
                <w:sz w:val="21"/>
                <w:szCs w:val="21"/>
                <w:highlight w:val="none"/>
                <w:lang w:val="en-US" w:eastAsia="zh-CN"/>
              </w:rPr>
              <w:t xml:space="preserve">50</w:t>
            </w:r>
            <w:r>
              <w:rPr>
                <w:rFonts w:hint="eastAsia" w:ascii="宋体" w:hAnsi="宋体" w:eastAsia="宋体" w:cs="宋体"/>
                <w:color w:val="auto"/>
                <w:spacing w:val="-3"/>
                <w:sz w:val="21"/>
                <w:szCs w:val="21"/>
                <w:highlight w:val="none"/>
              </w:rPr>
              <w:t xml:space="preserve">分</w:t>
            </w:r>
            <w:r/>
          </w:p>
        </w:tc>
        <w:tc>
          <w:tcPr>
            <w:tcW w:w="8490" w:type="dxa"/>
            <w:vAlign w:val="top"/>
            <w:textDirection w:val="lrTb"/>
            <w:noWrap w:val="false"/>
          </w:tcPr>
          <w:p>
            <w:pPr>
              <w:pStyle w:val="989"/>
              <w:ind w:left="210" w:right="143" w:firstLine="0"/>
              <w:spacing w:before="15"/>
              <w:rPr>
                <w:rFonts w:hint="eastAsia" w:ascii="宋体" w:hAnsi="宋体" w:eastAsia="宋体" w:cs="宋体"/>
                <w:color w:val="auto"/>
                <w:spacing w:val="9"/>
                <w:sz w:val="21"/>
                <w:szCs w:val="21"/>
                <w:highlight w:val="none"/>
                <w:lang w:val="en-US" w:eastAsia="zh-CN" w:bidi="ar-SA"/>
              </w:rPr>
            </w:pPr>
            <w:r>
              <w:rPr>
                <w:rFonts w:hint="eastAsia" w:ascii="宋体" w:hAnsi="宋体" w:eastAsia="宋体" w:cs="宋体"/>
                <w:color w:val="auto"/>
                <w:spacing w:val="9"/>
                <w:sz w:val="21"/>
                <w:szCs w:val="21"/>
                <w:highlight w:val="none"/>
                <w:lang w:val="en-US" w:eastAsia="zh-CN" w:bidi="ar-SA"/>
              </w:rPr>
              <w:t xml:space="preserve">供应商完全满足服务要求的得50分，标注▲每有一项负偏离的扣</w:t>
            </w:r>
            <w:r>
              <w:rPr>
                <w:rFonts w:hint="eastAsia" w:cs="宋体"/>
                <w:color w:val="auto"/>
                <w:spacing w:val="9"/>
                <w:sz w:val="21"/>
                <w:szCs w:val="21"/>
                <w:highlight w:val="none"/>
                <w:lang w:val="en-US" w:eastAsia="zh-CN" w:bidi="ar-SA"/>
              </w:rPr>
              <w:t xml:space="preserve">3</w:t>
            </w:r>
            <w:r>
              <w:rPr>
                <w:rFonts w:hint="eastAsia" w:ascii="宋体" w:hAnsi="宋体" w:eastAsia="宋体" w:cs="宋体"/>
                <w:color w:val="auto"/>
                <w:spacing w:val="9"/>
                <w:sz w:val="21"/>
                <w:szCs w:val="21"/>
                <w:highlight w:val="none"/>
                <w:lang w:val="en-US" w:eastAsia="zh-CN" w:bidi="ar-SA"/>
              </w:rPr>
              <w:t xml:space="preserve">分；非▲项每有一项负偏离的扣</w:t>
            </w:r>
            <w:r>
              <w:rPr>
                <w:rFonts w:hint="eastAsia" w:cs="宋体"/>
                <w:color w:val="auto"/>
                <w:spacing w:val="9"/>
                <w:sz w:val="21"/>
                <w:szCs w:val="21"/>
                <w:highlight w:val="none"/>
                <w:lang w:val="en-US" w:eastAsia="zh-CN" w:bidi="ar-SA"/>
              </w:rPr>
              <w:t xml:space="preserve">1</w:t>
            </w:r>
            <w:r>
              <w:rPr>
                <w:rFonts w:hint="eastAsia" w:ascii="宋体" w:hAnsi="宋体" w:eastAsia="宋体" w:cs="宋体"/>
                <w:color w:val="auto"/>
                <w:spacing w:val="9"/>
                <w:sz w:val="21"/>
                <w:szCs w:val="21"/>
                <w:highlight w:val="none"/>
                <w:lang w:val="en-US" w:eastAsia="zh-CN" w:bidi="ar-SA"/>
              </w:rPr>
              <w:t xml:space="preserve">分,扣完为止。</w:t>
            </w:r>
            <w:r/>
          </w:p>
          <w:p>
            <w:pPr>
              <w:pStyle w:val="989"/>
              <w:ind w:left="210" w:firstLine="0"/>
              <w:spacing w:before="2"/>
              <w:rPr>
                <w:rFonts w:hint="eastAsia" w:ascii="宋体" w:hAnsi="宋体" w:eastAsia="宋体" w:cs="宋体"/>
                <w:color w:val="auto"/>
                <w:spacing w:val="-4"/>
                <w:sz w:val="21"/>
                <w:szCs w:val="21"/>
                <w:highlight w:val="none"/>
                <w:lang w:val="en-US" w:eastAsia="zh-CN"/>
              </w:rPr>
            </w:pPr>
            <w:r>
              <w:rPr>
                <w:rFonts w:hint="eastAsia" w:ascii="宋体" w:hAnsi="宋体" w:eastAsia="宋体" w:cs="宋体"/>
                <w:color w:val="auto"/>
                <w:spacing w:val="9"/>
                <w:sz w:val="21"/>
                <w:szCs w:val="21"/>
                <w:highlight w:val="none"/>
                <w:lang w:val="en-US" w:eastAsia="zh-CN" w:bidi="ar-SA"/>
              </w:rPr>
              <w:t xml:space="preserve">响应文件中详细填写技术偏离表，须逐条响应，</w:t>
            </w:r>
            <w:r>
              <w:rPr>
                <w:rFonts w:hint="eastAsia" w:cs="宋体"/>
                <w:color w:val="auto"/>
                <w:spacing w:val="9"/>
                <w:sz w:val="21"/>
                <w:szCs w:val="21"/>
                <w:highlight w:val="none"/>
                <w:lang w:val="en-US" w:eastAsia="zh-CN" w:bidi="ar-SA"/>
              </w:rPr>
              <w:t xml:space="preserve">要求提供证明材料的</w:t>
            </w:r>
            <w:r>
              <w:rPr>
                <w:rFonts w:hint="eastAsia" w:ascii="宋体" w:hAnsi="宋体" w:eastAsia="宋体" w:cs="宋体"/>
                <w:color w:val="auto"/>
                <w:spacing w:val="9"/>
                <w:sz w:val="21"/>
                <w:szCs w:val="21"/>
                <w:highlight w:val="none"/>
                <w:lang w:val="en-US" w:eastAsia="zh-CN" w:bidi="ar-SA"/>
              </w:rPr>
              <w:t xml:space="preserve">须提供</w:t>
            </w:r>
            <w:r>
              <w:rPr>
                <w:rFonts w:hint="eastAsia" w:cs="宋体"/>
                <w:color w:val="auto"/>
                <w:spacing w:val="9"/>
                <w:sz w:val="21"/>
                <w:szCs w:val="21"/>
                <w:highlight w:val="none"/>
                <w:lang w:val="en-US" w:eastAsia="zh-CN" w:bidi="ar-SA"/>
              </w:rPr>
              <w:t xml:space="preserve">相关</w:t>
            </w:r>
            <w:r>
              <w:rPr>
                <w:rFonts w:hint="eastAsia" w:ascii="宋体" w:hAnsi="宋体" w:eastAsia="宋体" w:cs="宋体"/>
                <w:color w:val="auto"/>
                <w:spacing w:val="9"/>
                <w:sz w:val="21"/>
                <w:szCs w:val="21"/>
                <w:highlight w:val="none"/>
                <w:lang w:val="en-US" w:eastAsia="zh-CN" w:bidi="ar-SA"/>
              </w:rPr>
              <w:t xml:space="preserve">证明材料。</w:t>
            </w:r>
            <w:r/>
          </w:p>
        </w:tc>
      </w:tr>
      <w:tr>
        <w:trPr>
          <w:trHeight w:val="849"/>
        </w:trPr>
        <w:tc>
          <w:tcPr>
            <w:tcW w:w="1020" w:type="dxa"/>
            <w:vAlign w:val="center"/>
            <w:textDirection w:val="lrTb"/>
            <w:noWrap w:val="false"/>
          </w:tcPr>
          <w:p>
            <w:pPr>
              <w:jc w:val="center"/>
              <w:spacing w:line="280" w:lineRule="exact"/>
              <w:widowControl/>
              <w:rPr>
                <w:rFonts w:hint="eastAsia" w:ascii="宋体" w:hAnsi="宋体" w:eastAsia="宋体" w:cs="宋体"/>
                <w:color w:val="auto"/>
                <w:spacing w:val="19"/>
                <w:sz w:val="21"/>
                <w:szCs w:val="21"/>
                <w:highlight w:val="none"/>
              </w:rPr>
            </w:pPr>
            <w:r>
              <w:rPr>
                <w:rFonts w:hint="eastAsia" w:ascii="宋体" w:hAnsi="宋体" w:eastAsia="宋体" w:cs="宋体"/>
                <w:color w:val="auto"/>
                <w:spacing w:val="19"/>
                <w:sz w:val="21"/>
                <w:szCs w:val="21"/>
                <w:highlight w:val="none"/>
              </w:rPr>
              <w:t xml:space="preserve">企业业绩</w:t>
            </w:r>
            <w:r/>
          </w:p>
        </w:tc>
        <w:tc>
          <w:tcPr>
            <w:tcW w:w="660" w:type="dxa"/>
            <w:vAlign w:val="center"/>
            <w:textDirection w:val="lrTb"/>
            <w:noWrap w:val="false"/>
          </w:tcPr>
          <w:p>
            <w:pPr>
              <w:jc w:val="center"/>
              <w:spacing w:line="280" w:lineRule="exact"/>
              <w:widowControl/>
              <w:rPr>
                <w:rFonts w:hint="eastAsia" w:ascii="宋体" w:hAnsi="宋体" w:eastAsia="宋体" w:cs="宋体"/>
                <w:color w:val="auto"/>
                <w:spacing w:val="19"/>
                <w:sz w:val="21"/>
                <w:szCs w:val="21"/>
                <w:highlight w:val="none"/>
              </w:rPr>
            </w:pPr>
            <w:r>
              <w:rPr>
                <w:rFonts w:hint="eastAsia" w:ascii="宋体" w:hAnsi="宋体" w:eastAsia="宋体" w:cs="宋体"/>
                <w:color w:val="auto"/>
                <w:spacing w:val="19"/>
                <w:sz w:val="21"/>
                <w:szCs w:val="21"/>
                <w:highlight w:val="none"/>
                <w:lang w:val="en-US" w:eastAsia="zh-CN"/>
              </w:rPr>
              <w:t xml:space="preserve">6</w:t>
            </w:r>
            <w:r>
              <w:rPr>
                <w:rFonts w:hint="eastAsia" w:ascii="宋体" w:hAnsi="宋体" w:eastAsia="宋体" w:cs="宋体"/>
                <w:color w:val="auto"/>
                <w:spacing w:val="19"/>
                <w:sz w:val="21"/>
                <w:szCs w:val="21"/>
                <w:highlight w:val="none"/>
              </w:rPr>
              <w:t xml:space="preserve">分</w:t>
            </w:r>
            <w:r/>
          </w:p>
        </w:tc>
        <w:tc>
          <w:tcPr>
            <w:tcW w:w="8490" w:type="dxa"/>
            <w:vAlign w:val="top"/>
            <w:textDirection w:val="lrTb"/>
            <w:noWrap w:val="false"/>
          </w:tcPr>
          <w:p>
            <w:pPr>
              <w:ind w:left="210" w:firstLine="0"/>
              <w:jc w:val="left"/>
              <w:spacing w:line="280" w:lineRule="exact"/>
              <w:widowControl/>
              <w:rPr>
                <w:rFonts w:hint="eastAsia" w:ascii="宋体" w:hAnsi="宋体" w:eastAsia="宋体" w:cs="宋体"/>
                <w:color w:val="auto"/>
                <w:spacing w:val="9"/>
                <w:sz w:val="21"/>
                <w:szCs w:val="21"/>
                <w:highlight w:val="none"/>
                <w:lang w:val="en-US" w:eastAsia="zh-CN" w:bidi="ar-SA"/>
              </w:rPr>
            </w:pPr>
            <w:r>
              <w:rPr>
                <w:rFonts w:hint="eastAsia" w:ascii="宋体" w:hAnsi="宋体" w:eastAsia="宋体" w:cs="宋体"/>
                <w:color w:val="auto"/>
                <w:spacing w:val="9"/>
                <w:sz w:val="21"/>
                <w:szCs w:val="21"/>
                <w:highlight w:val="none"/>
                <w:lang w:val="en-US" w:eastAsia="zh-CN" w:bidi="ar-SA"/>
              </w:rPr>
              <w:t xml:space="preserve">供应商自2022年1月1日以来（以合同签订时间为准），每具有一个类似相关康复服务项目业绩的得2分，最高得6分。</w:t>
            </w:r>
            <w:r/>
          </w:p>
          <w:p>
            <w:pPr>
              <w:jc w:val="left"/>
              <w:spacing w:line="280" w:lineRule="exact"/>
              <w:widowControl/>
              <w:rPr>
                <w:rFonts w:hint="eastAsia" w:ascii="宋体" w:hAnsi="宋体" w:eastAsia="宋体" w:cs="宋体"/>
                <w:color w:val="auto"/>
                <w:spacing w:val="19"/>
                <w:sz w:val="21"/>
                <w:szCs w:val="21"/>
                <w:highlight w:val="none"/>
                <w:lang w:val="en-US"/>
              </w:rPr>
            </w:pPr>
            <w:r>
              <w:rPr>
                <w:rFonts w:hint="eastAsia" w:ascii="宋体" w:hAnsi="宋体" w:eastAsia="宋体" w:cs="宋体"/>
                <w:color w:val="auto"/>
                <w:spacing w:val="9"/>
                <w:sz w:val="21"/>
                <w:szCs w:val="21"/>
                <w:highlight w:val="none"/>
                <w:lang w:val="en-US" w:eastAsia="zh-CN" w:bidi="ar-SA"/>
              </w:rPr>
              <w:t xml:space="preserve">（需提供合同扫描件，否则不得分）</w:t>
            </w:r>
            <w:r/>
          </w:p>
        </w:tc>
      </w:tr>
      <w:tr>
        <w:trPr>
          <w:trHeight w:val="1602"/>
        </w:trPr>
        <w:tc>
          <w:tcPr>
            <w:tcW w:w="1020" w:type="dxa"/>
            <w:vAlign w:val="center"/>
            <w:textDirection w:val="lrTb"/>
            <w:noWrap w:val="false"/>
          </w:tcPr>
          <w:p>
            <w:pPr>
              <w:jc w:val="center"/>
              <w:spacing w:before="69" w:line="184" w:lineRule="auto"/>
              <w:widowControl/>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rPr>
              <w:t xml:space="preserve">设备配备</w:t>
            </w:r>
            <w:r/>
          </w:p>
        </w:tc>
        <w:tc>
          <w:tcPr>
            <w:tcW w:w="660" w:type="dxa"/>
            <w:vAlign w:val="center"/>
            <w:textDirection w:val="lrTb"/>
            <w:noWrap w:val="false"/>
          </w:tcPr>
          <w:p>
            <w:pPr>
              <w:jc w:val="center"/>
              <w:spacing w:before="69" w:line="184" w:lineRule="auto"/>
              <w:widowControl/>
              <w:rPr>
                <w:rFonts w:hint="eastAsia" w:ascii="宋体" w:hAnsi="宋体" w:eastAsia="宋体" w:cs="宋体"/>
                <w:color w:val="auto"/>
                <w:spacing w:val="9"/>
                <w:sz w:val="21"/>
                <w:szCs w:val="21"/>
                <w:highlight w:val="none"/>
              </w:rPr>
            </w:pPr>
            <w:r>
              <w:rPr>
                <w:rFonts w:hint="eastAsia" w:ascii="宋体" w:hAnsi="宋体" w:eastAsia="宋体" w:cs="宋体"/>
                <w:color w:val="auto"/>
                <w:spacing w:val="9"/>
                <w:sz w:val="21"/>
                <w:szCs w:val="21"/>
                <w:highlight w:val="none"/>
                <w:lang w:val="en-US" w:eastAsia="zh-CN"/>
              </w:rPr>
              <w:t xml:space="preserve">16</w:t>
            </w:r>
            <w:r>
              <w:rPr>
                <w:rFonts w:hint="eastAsia" w:ascii="宋体" w:hAnsi="宋体" w:eastAsia="宋体" w:cs="宋体"/>
                <w:color w:val="auto"/>
                <w:spacing w:val="9"/>
                <w:sz w:val="21"/>
                <w:szCs w:val="21"/>
                <w:highlight w:val="none"/>
              </w:rPr>
              <w:t xml:space="preserve">分</w:t>
            </w:r>
            <w:r/>
          </w:p>
        </w:tc>
        <w:tc>
          <w:tcPr>
            <w:tcW w:w="8490" w:type="dxa"/>
            <w:vAlign w:val="top"/>
            <w:textDirection w:val="lrTb"/>
            <w:noWrap w:val="false"/>
          </w:tcPr>
          <w:p>
            <w:pPr>
              <w:ind w:firstLine="228"/>
              <w:jc w:val="left"/>
              <w:spacing w:line="280" w:lineRule="exact"/>
              <w:widowControl/>
              <w:rPr>
                <w:rFonts w:hint="eastAsia" w:ascii="宋体" w:hAnsi="宋体" w:eastAsia="宋体" w:cs="宋体"/>
                <w:color w:val="auto"/>
                <w:spacing w:val="9"/>
                <w:sz w:val="21"/>
                <w:szCs w:val="21"/>
                <w:highlight w:val="none"/>
                <w:lang w:val="en-US" w:eastAsia="zh-CN" w:bidi="ar-SA"/>
              </w:rPr>
            </w:pPr>
            <w:r>
              <w:rPr>
                <w:rFonts w:hint="eastAsia" w:ascii="宋体" w:hAnsi="宋体" w:eastAsia="宋体" w:cs="宋体"/>
                <w:color w:val="auto"/>
                <w:spacing w:val="9"/>
                <w:sz w:val="21"/>
                <w:szCs w:val="21"/>
                <w:highlight w:val="none"/>
                <w:lang w:val="en-US" w:eastAsia="zh-CN" w:bidi="ar-SA"/>
              </w:rPr>
              <w:t xml:space="preserve">供应商自有设备得分 16 分：</w:t>
            </w:r>
            <w:r/>
          </w:p>
          <w:p>
            <w:pPr>
              <w:ind w:left="210" w:firstLine="0"/>
              <w:jc w:val="left"/>
              <w:spacing w:line="280" w:lineRule="exact"/>
              <w:widowControl/>
              <w:rPr>
                <w:rFonts w:hint="eastAsia" w:ascii="宋体" w:hAnsi="宋体" w:eastAsia="宋体" w:cs="宋体"/>
                <w:color w:val="auto"/>
                <w:spacing w:val="9"/>
                <w:sz w:val="21"/>
                <w:szCs w:val="21"/>
                <w:highlight w:val="none"/>
                <w:lang w:val="en-US" w:eastAsia="zh-CN" w:bidi="ar-SA"/>
              </w:rPr>
            </w:pPr>
            <w:r>
              <w:rPr>
                <w:rFonts w:hint="eastAsia" w:ascii="宋体" w:hAnsi="宋体" w:eastAsia="宋体" w:cs="宋体"/>
                <w:color w:val="auto"/>
                <w:spacing w:val="9"/>
                <w:sz w:val="21"/>
                <w:szCs w:val="21"/>
                <w:highlight w:val="none"/>
                <w:lang w:val="en-US" w:eastAsia="zh-CN" w:bidi="ar-SA"/>
              </w:rPr>
              <w:t xml:space="preserve">情景互动训练系统2分、多感官训练系统2分、多轴多点整合训练系统2分、沙盘评估游戏系统2分、感觉统合评估系统2分、言语语言评估系统2分、蒙氏教具2分、奥尔夫音乐教具2分，最高得16分。</w:t>
            </w:r>
            <w:r/>
          </w:p>
          <w:p>
            <w:pPr>
              <w:ind w:left="210" w:firstLine="0"/>
              <w:jc w:val="left"/>
              <w:spacing w:line="280" w:lineRule="exact"/>
              <w:widowControl/>
              <w:rPr>
                <w:rFonts w:hint="eastAsia" w:ascii="宋体" w:hAnsi="宋体" w:eastAsia="宋体" w:cs="宋体"/>
                <w:color w:val="auto"/>
                <w:spacing w:val="9"/>
                <w:sz w:val="21"/>
                <w:szCs w:val="21"/>
                <w:highlight w:val="none"/>
                <w:lang w:eastAsia="zh-CN"/>
              </w:rPr>
            </w:pPr>
            <w:r>
              <w:rPr>
                <w:rFonts w:hint="eastAsia" w:ascii="宋体" w:hAnsi="宋体" w:eastAsia="宋体" w:cs="宋体"/>
                <w:color w:val="auto"/>
                <w:spacing w:val="9"/>
                <w:sz w:val="21"/>
                <w:szCs w:val="21"/>
                <w:highlight w:val="none"/>
                <w:lang w:val="en-US" w:eastAsia="zh-CN" w:bidi="ar-SA"/>
              </w:rPr>
              <w:t xml:space="preserve">（以上设备须提供标明供应商名称的发票或相关能证明符合要求的证明材料。）</w:t>
            </w:r>
            <w:r/>
          </w:p>
        </w:tc>
      </w:tr>
      <w:tr>
        <w:trPr>
          <w:trHeight w:val="416"/>
        </w:trPr>
        <w:tc>
          <w:tcPr>
            <w:gridSpan w:val="3"/>
            <w:tcW w:w="10170" w:type="dxa"/>
            <w:vAlign w:val="center"/>
            <w:textDirection w:val="lrTb"/>
            <w:noWrap w:val="false"/>
          </w:tcPr>
          <w:p>
            <w:pPr>
              <w:jc w:val="center"/>
              <w:spacing w:line="280" w:lineRule="exact"/>
              <w:widowControl/>
              <w:rPr>
                <w:rFonts w:hint="eastAsia" w:ascii="宋体" w:hAnsi="宋体" w:eastAsia="宋体" w:cs="宋体"/>
                <w:color w:val="auto"/>
                <w:spacing w:val="9"/>
                <w:sz w:val="21"/>
                <w:szCs w:val="21"/>
                <w:highlight w:val="none"/>
              </w:rPr>
            </w:pPr>
            <w:r>
              <w:rPr>
                <w:rFonts w:hint="eastAsia" w:ascii="宋体" w:hAnsi="宋体" w:eastAsia="宋体" w:cs="宋体"/>
                <w:color w:val="auto"/>
                <w:sz w:val="21"/>
                <w:szCs w:val="21"/>
                <w:highlight w:val="none"/>
                <w:lang w:val="en-US" w:eastAsia="zh-CN"/>
              </w:rPr>
              <w:t xml:space="preserve">技术分（28）</w:t>
            </w:r>
            <w:r/>
          </w:p>
        </w:tc>
      </w:tr>
      <w:tr>
        <w:trPr>
          <w:trHeight w:val="2230"/>
        </w:trPr>
        <w:tc>
          <w:tcPr>
            <w:tcW w:w="1020" w:type="dxa"/>
            <w:vAlign w:val="center"/>
            <w:textDirection w:val="lrTb"/>
            <w:noWrap w:val="false"/>
          </w:tcPr>
          <w:p>
            <w:pPr>
              <w:ind w:firstLine="119"/>
              <w:jc w:val="center"/>
              <w:spacing w:before="68" w:line="184" w:lineRule="auto"/>
              <w:widowControl/>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服务</w:t>
            </w:r>
            <w:r/>
          </w:p>
          <w:p>
            <w:pPr>
              <w:ind w:firstLine="119"/>
              <w:jc w:val="center"/>
              <w:spacing w:before="68"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方案</w:t>
            </w:r>
            <w:r/>
          </w:p>
        </w:tc>
        <w:tc>
          <w:tcPr>
            <w:tcW w:w="660" w:type="dxa"/>
            <w:vAlign w:val="center"/>
            <w:textDirection w:val="lrTb"/>
            <w:noWrap w:val="false"/>
          </w:tcPr>
          <w:p>
            <w:pPr>
              <w:jc w:val="center"/>
              <w:spacing w:before="68"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val="en-US" w:eastAsia="zh-CN"/>
              </w:rPr>
              <w:t xml:space="preserve">5</w:t>
            </w:r>
            <w:r>
              <w:rPr>
                <w:rFonts w:hint="eastAsia" w:ascii="宋体" w:hAnsi="宋体" w:eastAsia="宋体" w:cs="宋体"/>
                <w:color w:val="auto"/>
                <w:spacing w:val="-3"/>
                <w:sz w:val="21"/>
                <w:szCs w:val="21"/>
                <w:highlight w:val="none"/>
              </w:rPr>
              <w:t xml:space="preserve">分</w:t>
            </w:r>
            <w:r/>
          </w:p>
        </w:tc>
        <w:tc>
          <w:tcPr>
            <w:tcW w:w="8490" w:type="dxa"/>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评委根据投标供应商针对本项目制定服务</w:t>
            </w:r>
            <w:r>
              <w:rPr>
                <w:rFonts w:hint="eastAsia" w:ascii="宋体" w:hAnsi="宋体" w:eastAsia="宋体" w:cs="宋体"/>
                <w:color w:val="auto"/>
                <w:spacing w:val="15"/>
                <w:sz w:val="21"/>
                <w:szCs w:val="21"/>
                <w:highlight w:val="none"/>
                <w:lang w:val="en-US" w:eastAsia="zh-CN"/>
              </w:rPr>
              <w:t xml:space="preserve">方案的</w:t>
            </w:r>
            <w:r>
              <w:rPr>
                <w:rFonts w:hint="eastAsia" w:ascii="宋体" w:hAnsi="宋体" w:eastAsia="宋体" w:cs="宋体"/>
                <w:color w:val="auto"/>
                <w:spacing w:val="15"/>
                <w:sz w:val="21"/>
                <w:szCs w:val="21"/>
                <w:highlight w:val="none"/>
              </w:rPr>
              <w:t xml:space="preserve">内容</w:t>
            </w:r>
            <w:r>
              <w:rPr>
                <w:rFonts w:hint="eastAsia" w:ascii="宋体" w:hAnsi="宋体" w:eastAsia="宋体" w:cs="宋体"/>
                <w:color w:val="auto"/>
                <w:spacing w:val="15"/>
                <w:sz w:val="21"/>
                <w:szCs w:val="21"/>
                <w:highlight w:val="none"/>
                <w:lang w:val="en-US" w:eastAsia="zh-CN"/>
              </w:rPr>
              <w:t xml:space="preserve">进行打分，</w:t>
            </w:r>
            <w:r>
              <w:rPr>
                <w:rFonts w:hint="eastAsia" w:ascii="宋体" w:hAnsi="宋体" w:eastAsia="宋体" w:cs="宋体"/>
                <w:color w:val="auto"/>
                <w:spacing w:val="15"/>
                <w:sz w:val="21"/>
                <w:szCs w:val="21"/>
                <w:highlight w:val="none"/>
              </w:rPr>
              <w:t xml:space="preserve">包含但不限于对服务对象社会交往与沟通、认知与感知、运动、生活自理、兴趣与行为、情绪管理和社会融合活动等方面的服务计划表(包括周课程表和月度工作计划)</w:t>
            </w:r>
            <w:r/>
          </w:p>
          <w:p>
            <w:pPr>
              <w:ind w:firstLine="480"/>
              <w:jc w:val="left"/>
              <w:spacing w:line="280" w:lineRule="exact"/>
              <w:widowControl/>
              <w:rPr>
                <w:rFonts w:hint="eastAsia" w:ascii="宋体" w:hAnsi="宋体" w:eastAsia="宋体" w:cs="宋体"/>
                <w:color w:val="auto"/>
                <w:spacing w:val="15"/>
                <w:sz w:val="21"/>
                <w:szCs w:val="21"/>
                <w:highlight w:val="none"/>
                <w:lang w:val="en-US" w:eastAsia="zh-CN"/>
              </w:rPr>
            </w:pPr>
            <w:r>
              <w:rPr>
                <w:rFonts w:hint="eastAsia" w:ascii="宋体" w:hAnsi="宋体" w:eastAsia="宋体" w:cs="宋体"/>
                <w:color w:val="auto"/>
                <w:spacing w:val="15"/>
                <w:sz w:val="21"/>
                <w:szCs w:val="21"/>
                <w:highlight w:val="none"/>
              </w:rPr>
              <w:t xml:space="preserve">优:服务安排详实，可行性强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良:服务安排较详细，可行性较强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lang w:eastAsia="zh-CN"/>
              </w:rPr>
            </w:pPr>
            <w:r>
              <w:rPr>
                <w:rFonts w:hint="eastAsia" w:ascii="宋体" w:hAnsi="宋体" w:eastAsia="宋体" w:cs="宋体"/>
                <w:color w:val="auto"/>
                <w:spacing w:val="15"/>
                <w:sz w:val="21"/>
                <w:szCs w:val="21"/>
                <w:highlight w:val="none"/>
              </w:rPr>
              <w:t xml:space="preserve">中:服务安排简单笼统，可行性一般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1696"/>
        </w:trPr>
        <w:tc>
          <w:tcPr>
            <w:tcW w:w="1020" w:type="dxa"/>
            <w:vAlign w:val="center"/>
            <w:textDirection w:val="lrTb"/>
            <w:noWrap w:val="false"/>
          </w:tcPr>
          <w:p>
            <w:pPr>
              <w:ind w:firstLine="119"/>
              <w:jc w:val="center"/>
              <w:spacing w:before="69" w:line="184" w:lineRule="auto"/>
              <w:widowControl/>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培训</w:t>
            </w:r>
            <w:r/>
          </w:p>
          <w:p>
            <w:pPr>
              <w:ind w:firstLine="119"/>
              <w:jc w:val="center"/>
              <w:spacing w:before="69"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方案</w:t>
            </w:r>
            <w:r/>
          </w:p>
        </w:tc>
        <w:tc>
          <w:tcPr>
            <w:tcW w:w="660" w:type="dxa"/>
            <w:vAlign w:val="center"/>
            <w:textDirection w:val="lrTb"/>
            <w:noWrap w:val="false"/>
          </w:tcPr>
          <w:p>
            <w:pPr>
              <w:jc w:val="center"/>
              <w:spacing w:before="64" w:line="18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5分</w:t>
            </w:r>
            <w:r/>
          </w:p>
        </w:tc>
        <w:tc>
          <w:tcPr>
            <w:tcW w:w="8490" w:type="dxa"/>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评委根据投标供应商针对本项目制定培训</w:t>
            </w:r>
            <w:r>
              <w:rPr>
                <w:rFonts w:hint="eastAsia" w:ascii="宋体" w:hAnsi="宋体" w:eastAsia="宋体" w:cs="宋体"/>
                <w:color w:val="auto"/>
                <w:spacing w:val="15"/>
                <w:sz w:val="21"/>
                <w:szCs w:val="21"/>
                <w:highlight w:val="none"/>
                <w:lang w:val="en-US" w:eastAsia="zh-CN"/>
              </w:rPr>
              <w:t xml:space="preserve">方案</w:t>
            </w:r>
            <w:r>
              <w:rPr>
                <w:rFonts w:hint="eastAsia" w:ascii="宋体" w:hAnsi="宋体" w:eastAsia="宋体" w:cs="宋体"/>
                <w:color w:val="auto"/>
                <w:spacing w:val="15"/>
                <w:sz w:val="21"/>
                <w:szCs w:val="21"/>
                <w:highlight w:val="none"/>
              </w:rPr>
              <w:t xml:space="preserve">内容</w:t>
            </w:r>
            <w:r>
              <w:rPr>
                <w:rFonts w:hint="eastAsia" w:ascii="宋体" w:hAnsi="宋体" w:eastAsia="宋体" w:cs="宋体"/>
                <w:color w:val="auto"/>
                <w:spacing w:val="15"/>
                <w:sz w:val="21"/>
                <w:szCs w:val="21"/>
                <w:highlight w:val="none"/>
                <w:lang w:val="en-US" w:eastAsia="zh-CN"/>
              </w:rPr>
              <w:t xml:space="preserve">进行打分，</w:t>
            </w:r>
            <w:r>
              <w:rPr>
                <w:rFonts w:hint="eastAsia" w:ascii="宋体" w:hAnsi="宋体" w:eastAsia="宋体" w:cs="宋体"/>
                <w:color w:val="auto"/>
                <w:spacing w:val="15"/>
                <w:sz w:val="21"/>
                <w:szCs w:val="21"/>
                <w:highlight w:val="none"/>
              </w:rPr>
              <w:t xml:space="preserve">包含但不限于培训内容、培训人员、培训时间安排、培训预期效果</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优:培训计划详细全面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良:培训计划较详细较全面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中:培训计划不详细不全面</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1885"/>
        </w:trPr>
        <w:tc>
          <w:tcPr>
            <w:shd w:val="clear" w:color="auto" w:fill="auto"/>
            <w:tcW w:w="1020" w:type="dxa"/>
            <w:vAlign w:val="center"/>
            <w:textDirection w:val="lrTb"/>
            <w:noWrap w:val="false"/>
          </w:tcPr>
          <w:p>
            <w:pPr>
              <w:jc w:val="center"/>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监督管</w:t>
            </w:r>
            <w:r/>
          </w:p>
          <w:p>
            <w:pPr>
              <w:jc w:val="center"/>
              <w:spacing w:before="69" w:line="184"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4"/>
                <w:sz w:val="21"/>
                <w:szCs w:val="21"/>
                <w:highlight w:val="none"/>
              </w:rPr>
              <w:t xml:space="preserve">理机制</w:t>
            </w:r>
            <w:r/>
          </w:p>
        </w:tc>
        <w:tc>
          <w:tcPr>
            <w:shd w:val="clear" w:color="auto" w:fill="auto"/>
            <w:tcW w:w="660" w:type="dxa"/>
            <w:vAlign w:val="center"/>
            <w:textDirection w:val="lrTb"/>
            <w:noWrap w:val="false"/>
          </w:tcPr>
          <w:p>
            <w:pPr>
              <w:jc w:val="center"/>
              <w:spacing w:before="69" w:line="184"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pacing w:val="-3"/>
                <w:sz w:val="21"/>
                <w:szCs w:val="21"/>
                <w:highlight w:val="none"/>
                <w:lang w:val="en-US" w:eastAsia="zh-CN"/>
              </w:rPr>
              <w:t xml:space="preserve">5</w:t>
            </w:r>
            <w:r>
              <w:rPr>
                <w:rFonts w:hint="eastAsia" w:ascii="宋体" w:hAnsi="宋体" w:eastAsia="宋体" w:cs="宋体"/>
                <w:color w:val="auto"/>
                <w:spacing w:val="-3"/>
                <w:sz w:val="21"/>
                <w:szCs w:val="21"/>
                <w:highlight w:val="none"/>
              </w:rPr>
              <w:t xml:space="preserve">分</w:t>
            </w:r>
            <w:r/>
          </w:p>
        </w:tc>
        <w:tc>
          <w:tcPr>
            <w:shd w:val="clear" w:color="auto" w:fill="auto"/>
            <w:tcW w:w="8490" w:type="dxa"/>
            <w:vAlign w:val="top"/>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评委根据投标供应商针对本项目制定监管机制内容</w:t>
            </w:r>
            <w:r>
              <w:rPr>
                <w:rFonts w:hint="eastAsia" w:ascii="宋体" w:hAnsi="宋体" w:eastAsia="宋体" w:cs="宋体"/>
                <w:color w:val="auto"/>
                <w:spacing w:val="15"/>
                <w:sz w:val="21"/>
                <w:szCs w:val="21"/>
                <w:highlight w:val="none"/>
                <w:lang w:val="en-US" w:eastAsia="zh-CN"/>
              </w:rPr>
              <w:t xml:space="preserve">进行打分，</w:t>
            </w:r>
            <w:r>
              <w:rPr>
                <w:rFonts w:hint="eastAsia" w:ascii="宋体" w:hAnsi="宋体" w:eastAsia="宋体" w:cs="宋体"/>
                <w:color w:val="auto"/>
                <w:spacing w:val="15"/>
                <w:sz w:val="21"/>
                <w:szCs w:val="21"/>
                <w:highlight w:val="none"/>
              </w:rPr>
              <w:t xml:space="preserve">包含但不限于根据不同岗位制定相应的人员考核机制，考核机制应结合项目内容，相关监督管理机制各项等内容</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优:监督管理机制详尽合理，关联密切、可行性强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良:监督管理机制较为详细，可行性一般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中:监督管理机制简单笼统，不具有可行性。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p>
            <w:pPr>
              <w:jc w:val="left"/>
              <w:spacing w:line="28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trHeight w:val="1966"/>
        </w:trPr>
        <w:tc>
          <w:tcPr>
            <w:shd w:val="clear" w:color="auto" w:fill="auto"/>
            <w:tcW w:w="1020" w:type="dxa"/>
            <w:vAlign w:val="center"/>
            <w:textDirection w:val="lrTb"/>
            <w:noWrap w:val="false"/>
          </w:tcPr>
          <w:p>
            <w:pPr>
              <w:ind w:firstLine="123"/>
              <w:jc w:val="center"/>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应急</w:t>
            </w:r>
            <w:r/>
          </w:p>
          <w:p>
            <w:pPr>
              <w:ind w:firstLine="123"/>
              <w:jc w:val="center"/>
              <w:spacing w:before="69" w:line="184" w:lineRule="auto"/>
              <w:widowControl/>
              <w:rPr>
                <w:rFonts w:hint="eastAsia" w:ascii="宋体" w:hAnsi="宋体" w:eastAsia="宋体" w:cs="宋体"/>
                <w:color w:val="auto"/>
                <w:spacing w:val="-4"/>
                <w:sz w:val="21"/>
                <w:szCs w:val="21"/>
                <w:highlight w:val="none"/>
              </w:rPr>
            </w:pPr>
            <w:r>
              <w:rPr>
                <w:rFonts w:hint="eastAsia" w:ascii="宋体" w:hAnsi="宋体" w:eastAsia="宋体" w:cs="宋体"/>
                <w:color w:val="auto"/>
                <w:spacing w:val="-4"/>
                <w:sz w:val="21"/>
                <w:szCs w:val="21"/>
                <w:highlight w:val="none"/>
              </w:rPr>
              <w:t xml:space="preserve">处理</w:t>
            </w:r>
            <w:r/>
          </w:p>
        </w:tc>
        <w:tc>
          <w:tcPr>
            <w:shd w:val="clear" w:color="auto" w:fill="auto"/>
            <w:tcW w:w="660" w:type="dxa"/>
            <w:vAlign w:val="center"/>
            <w:textDirection w:val="lrTb"/>
            <w:noWrap w:val="false"/>
          </w:tcPr>
          <w:p>
            <w:pPr>
              <w:jc w:val="center"/>
              <w:spacing w:before="69" w:line="184" w:lineRule="auto"/>
              <w:widowControl/>
              <w:rPr>
                <w:rFonts w:hint="eastAsia" w:ascii="宋体" w:hAnsi="宋体" w:eastAsia="宋体" w:cs="宋体"/>
                <w:color w:val="auto"/>
                <w:spacing w:val="-3"/>
                <w:sz w:val="21"/>
                <w:szCs w:val="21"/>
                <w:highlight w:val="none"/>
                <w:lang w:val="en-US" w:eastAsia="zh-CN"/>
              </w:rPr>
            </w:pPr>
            <w:r>
              <w:rPr>
                <w:rFonts w:hint="eastAsia" w:ascii="宋体" w:hAnsi="宋体" w:eastAsia="宋体" w:cs="宋体"/>
                <w:color w:val="auto"/>
                <w:sz w:val="21"/>
                <w:szCs w:val="21"/>
                <w:highlight w:val="none"/>
              </w:rPr>
              <w:t xml:space="preserve">5分</w:t>
            </w:r>
            <w:r/>
          </w:p>
        </w:tc>
        <w:tc>
          <w:tcPr>
            <w:shd w:val="clear" w:color="auto" w:fill="auto"/>
            <w:tcW w:w="8490" w:type="dxa"/>
            <w:vAlign w:val="top"/>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w:t>
            </w:r>
            <w:r>
              <w:rPr>
                <w:rFonts w:hint="eastAsia" w:ascii="宋体" w:hAnsi="宋体" w:eastAsia="宋体" w:cs="宋体"/>
                <w:color w:val="auto"/>
                <w:spacing w:val="15"/>
                <w:sz w:val="21"/>
                <w:szCs w:val="21"/>
                <w:highlight w:val="none"/>
                <w:lang w:val="en-US" w:eastAsia="zh-CN"/>
              </w:rPr>
              <w:t xml:space="preserve">的</w:t>
            </w:r>
            <w:r>
              <w:rPr>
                <w:rFonts w:hint="eastAsia" w:ascii="宋体" w:hAnsi="宋体" w:eastAsia="宋体" w:cs="宋体"/>
                <w:color w:val="auto"/>
                <w:spacing w:val="15"/>
                <w:sz w:val="21"/>
                <w:szCs w:val="21"/>
                <w:highlight w:val="none"/>
              </w:rPr>
              <w:t xml:space="preserve">服务应急预案</w:t>
            </w:r>
            <w:r>
              <w:rPr>
                <w:rFonts w:hint="eastAsia" w:ascii="宋体" w:hAnsi="宋体" w:eastAsia="宋体" w:cs="宋体"/>
                <w:color w:val="auto"/>
                <w:spacing w:val="15"/>
                <w:sz w:val="21"/>
                <w:szCs w:val="21"/>
                <w:highlight w:val="none"/>
                <w:lang w:val="en-US" w:eastAsia="zh-CN"/>
              </w:rPr>
              <w:t xml:space="preserve">进行打分</w:t>
            </w:r>
            <w:r>
              <w:rPr>
                <w:rFonts w:hint="eastAsia" w:ascii="宋体" w:hAnsi="宋体" w:eastAsia="宋体" w:cs="宋体"/>
                <w:color w:val="auto"/>
                <w:spacing w:val="15"/>
                <w:sz w:val="21"/>
                <w:szCs w:val="21"/>
                <w:highlight w:val="none"/>
              </w:rPr>
              <w:t xml:space="preserve">。内容包含建立一套完善的汇报和监管机制，包括突发公共卫生事件、灾害事故等应急预案</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优:应急预案详尽、可行性可操作性强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良:应急预案较详细、可行性可操作性一般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中:应急预案不详细、不具有可行性可操作性。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2305"/>
        </w:trPr>
        <w:tc>
          <w:tcPr>
            <w:shd w:val="clear" w:color="auto" w:fill="auto"/>
            <w:tcW w:w="1020" w:type="dxa"/>
            <w:vAlign w:val="center"/>
            <w:textDirection w:val="lrTb"/>
            <w:noWrap w:val="false"/>
          </w:tcPr>
          <w:p>
            <w:pPr>
              <w:ind w:firstLine="123"/>
              <w:jc w:val="center"/>
              <w:spacing w:before="69" w:line="184" w:lineRule="auto"/>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信息</w:t>
            </w:r>
            <w:r/>
          </w:p>
          <w:p>
            <w:pPr>
              <w:ind w:firstLine="123"/>
              <w:jc w:val="center"/>
              <w:spacing w:before="69" w:line="184" w:lineRule="auto"/>
              <w:widowControl/>
              <w:rPr>
                <w:rFonts w:hint="eastAsia" w:ascii="宋体" w:hAnsi="宋体" w:eastAsia="宋体" w:cs="宋体"/>
                <w:color w:val="000000"/>
                <w:sz w:val="21"/>
                <w:szCs w:val="21"/>
              </w:rPr>
            </w:pPr>
            <w:r>
              <w:rPr>
                <w:rFonts w:hint="eastAsia" w:ascii="宋体" w:hAnsi="宋体" w:eastAsia="宋体" w:cs="宋体"/>
                <w:color w:val="auto"/>
                <w:spacing w:val="15"/>
                <w:sz w:val="21"/>
                <w:szCs w:val="21"/>
                <w:highlight w:val="none"/>
              </w:rPr>
              <w:t xml:space="preserve">管理</w:t>
            </w:r>
            <w:r/>
          </w:p>
        </w:tc>
        <w:tc>
          <w:tcPr>
            <w:shd w:val="clear" w:color="auto" w:fill="auto"/>
            <w:tcW w:w="660" w:type="dxa"/>
            <w:vAlign w:val="center"/>
            <w:textDirection w:val="lrTb"/>
            <w:noWrap w:val="false"/>
          </w:tcPr>
          <w:p>
            <w:pPr>
              <w:jc w:val="center"/>
              <w:spacing w:before="69" w:line="184"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shd w:val="clear" w:color="auto" w:fill="auto"/>
            <w:tcW w:w="8490" w:type="dxa"/>
            <w:vAlign w:val="top"/>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评委根据投标供应商针对本项目制定建立信息管理等制度与方案</w:t>
            </w:r>
            <w:r>
              <w:rPr>
                <w:rFonts w:hint="eastAsia" w:ascii="宋体" w:hAnsi="宋体" w:eastAsia="宋体" w:cs="宋体"/>
                <w:color w:val="auto"/>
                <w:spacing w:val="15"/>
                <w:sz w:val="21"/>
                <w:szCs w:val="21"/>
                <w:highlight w:val="none"/>
                <w:lang w:val="en-US" w:eastAsia="zh-CN"/>
              </w:rPr>
              <w:t xml:space="preserve">进行打分</w:t>
            </w:r>
            <w:r>
              <w:rPr>
                <w:rFonts w:hint="eastAsia" w:ascii="宋体" w:hAnsi="宋体" w:eastAsia="宋体" w:cs="宋体"/>
                <w:color w:val="auto"/>
                <w:spacing w:val="15"/>
                <w:sz w:val="21"/>
                <w:szCs w:val="21"/>
                <w:highlight w:val="none"/>
              </w:rPr>
              <w:t xml:space="preserve">，</w:t>
            </w:r>
            <w:r>
              <w:rPr>
                <w:rFonts w:hint="eastAsia" w:ascii="宋体" w:hAnsi="宋体" w:eastAsia="宋体" w:cs="宋体"/>
                <w:color w:val="auto"/>
                <w:spacing w:val="15"/>
                <w:sz w:val="21"/>
                <w:szCs w:val="21"/>
                <w:highlight w:val="none"/>
                <w:lang w:val="en-US" w:eastAsia="zh-CN"/>
              </w:rPr>
              <w:t xml:space="preserve">包括</w:t>
            </w:r>
            <w:r>
              <w:rPr>
                <w:rFonts w:hint="eastAsia" w:ascii="宋体" w:hAnsi="宋体" w:eastAsia="宋体" w:cs="宋体"/>
                <w:color w:val="auto"/>
                <w:spacing w:val="15"/>
                <w:sz w:val="21"/>
                <w:szCs w:val="21"/>
                <w:highlight w:val="none"/>
              </w:rPr>
              <w:t xml:space="preserve">及时填报中国残联的残疾人精准康复服务信息管理系统、省残联“智慧残联”系统，数据录入及时、准确、完备，并完成各级残联交办的上报信息、数据统计等工作。</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优:方案制度详实、可行性可操作性强</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5分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良:方案制度详细、可行性可操作性一般</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3分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lang w:eastAsia="zh-CN"/>
              </w:rPr>
            </w:pPr>
            <w:r>
              <w:rPr>
                <w:rFonts w:hint="eastAsia" w:ascii="宋体" w:hAnsi="宋体" w:eastAsia="宋体" w:cs="宋体"/>
                <w:color w:val="auto"/>
                <w:spacing w:val="15"/>
                <w:sz w:val="21"/>
                <w:szCs w:val="21"/>
                <w:highlight w:val="none"/>
              </w:rPr>
              <w:t xml:space="preserve">中:方案制度笼统、不具有可行性可操作性。</w:t>
            </w:r>
            <w:r>
              <w:rPr>
                <w:rFonts w:hint="eastAsia" w:ascii="宋体" w:hAnsi="宋体" w:eastAsia="宋体" w:cs="宋体"/>
                <w:color w:val="auto"/>
                <w:spacing w:val="15"/>
                <w:sz w:val="21"/>
                <w:szCs w:val="21"/>
                <w:highlight w:val="none"/>
                <w:lang w:eastAsia="zh-CN"/>
              </w:rPr>
              <w:t xml:space="preserve">（</w:t>
            </w:r>
            <w:r>
              <w:rPr>
                <w:rFonts w:hint="eastAsia" w:ascii="宋体" w:hAnsi="宋体" w:eastAsia="宋体" w:cs="宋体"/>
                <w:color w:val="auto"/>
                <w:spacing w:val="15"/>
                <w:sz w:val="21"/>
                <w:szCs w:val="21"/>
                <w:highlight w:val="none"/>
                <w:lang w:val="en-US" w:eastAsia="zh-CN"/>
              </w:rPr>
              <w:t xml:space="preserve">1分</w:t>
            </w:r>
            <w:r>
              <w:rPr>
                <w:rFonts w:hint="eastAsia" w:ascii="宋体" w:hAnsi="宋体" w:eastAsia="宋体" w:cs="宋体"/>
                <w:color w:val="auto"/>
                <w:spacing w:val="15"/>
                <w:sz w:val="21"/>
                <w:szCs w:val="21"/>
                <w:highlight w:val="none"/>
                <w:lang w:eastAsia="zh-CN"/>
              </w:rPr>
              <w:t xml:space="preserve">）</w:t>
            </w:r>
            <w:r/>
          </w:p>
          <w:p>
            <w:pPr>
              <w:ind w:firstLine="480"/>
              <w:jc w:val="left"/>
              <w:spacing w:line="280" w:lineRule="exact"/>
              <w:widowControl/>
              <w:rPr>
                <w:rFonts w:hint="eastAsia" w:ascii="宋体" w:hAnsi="宋体" w:eastAsia="宋体" w:cs="宋体"/>
                <w:color w:val="auto"/>
                <w:spacing w:val="15"/>
                <w:sz w:val="21"/>
                <w:szCs w:val="21"/>
                <w:highlight w:val="none"/>
              </w:rPr>
            </w:pPr>
            <w:r>
              <w:rPr>
                <w:rFonts w:hint="eastAsia" w:ascii="宋体" w:hAnsi="宋体" w:eastAsia="宋体" w:cs="宋体"/>
                <w:color w:val="auto"/>
                <w:spacing w:val="15"/>
                <w:sz w:val="21"/>
                <w:szCs w:val="21"/>
                <w:highlight w:val="none"/>
              </w:rPr>
              <w:t xml:space="preserve">各投标供应商须对上述方案提供承诺函。</w:t>
            </w:r>
            <w:r>
              <w:rPr>
                <w:rFonts w:hint="eastAsia" w:ascii="宋体" w:hAnsi="宋体" w:eastAsia="宋体" w:cs="宋体"/>
                <w:color w:val="auto"/>
                <w:spacing w:val="15"/>
                <w:sz w:val="21"/>
                <w:szCs w:val="21"/>
                <w:highlight w:val="none"/>
                <w:lang w:val="en-US" w:eastAsia="zh-CN"/>
              </w:rPr>
              <w:t xml:space="preserve">不提供不得分。</w:t>
            </w:r>
            <w:r/>
          </w:p>
        </w:tc>
      </w:tr>
      <w:tr>
        <w:trPr>
          <w:trHeight w:val="1487"/>
        </w:trPr>
        <w:tc>
          <w:tcPr>
            <w:shd w:val="clear" w:color="auto" w:fill="auto"/>
            <w:tcW w:w="1020" w:type="dxa"/>
            <w:vAlign w:val="center"/>
            <w:textDirection w:val="lrTb"/>
            <w:noWrap w:val="false"/>
          </w:tcPr>
          <w:p>
            <w:pPr>
              <w:ind w:firstLine="123"/>
              <w:jc w:val="center"/>
              <w:spacing w:before="69" w:line="184" w:lineRule="auto"/>
              <w:widowControl/>
              <w:rPr>
                <w:rFonts w:hint="eastAsia" w:ascii="宋体" w:hAnsi="宋体" w:eastAsia="宋体" w:cs="宋体"/>
                <w:color w:val="auto"/>
                <w:spacing w:val="15"/>
                <w:sz w:val="21"/>
                <w:szCs w:val="21"/>
                <w:highlight w:val="none"/>
                <w:lang w:val="en-US" w:eastAsia="zh-CN"/>
              </w:rPr>
            </w:pPr>
            <w:r>
              <w:rPr>
                <w:rFonts w:hint="eastAsia" w:ascii="宋体" w:hAnsi="宋体" w:eastAsia="宋体" w:cs="宋体"/>
                <w:color w:val="auto"/>
                <w:spacing w:val="15"/>
                <w:sz w:val="21"/>
                <w:szCs w:val="21"/>
                <w:highlight w:val="none"/>
                <w:lang w:val="en-US" w:eastAsia="zh-CN"/>
              </w:rPr>
              <w:t xml:space="preserve">投诉</w:t>
            </w:r>
            <w:r/>
          </w:p>
          <w:p>
            <w:pPr>
              <w:ind w:firstLine="123"/>
              <w:jc w:val="center"/>
              <w:spacing w:before="69" w:line="184" w:lineRule="auto"/>
              <w:widowControl/>
              <w:rPr>
                <w:rFonts w:hint="eastAsia" w:ascii="宋体" w:hAnsi="宋体" w:eastAsia="宋体" w:cs="宋体"/>
                <w:color w:val="auto"/>
                <w:spacing w:val="15"/>
                <w:sz w:val="21"/>
                <w:szCs w:val="21"/>
                <w:highlight w:val="none"/>
                <w:lang w:val="en-US" w:eastAsia="zh-CN"/>
              </w:rPr>
            </w:pPr>
            <w:r>
              <w:rPr>
                <w:rFonts w:hint="eastAsia" w:ascii="宋体" w:hAnsi="宋体" w:eastAsia="宋体" w:cs="宋体"/>
                <w:color w:val="auto"/>
                <w:spacing w:val="15"/>
                <w:sz w:val="21"/>
                <w:szCs w:val="21"/>
                <w:highlight w:val="none"/>
                <w:lang w:val="en-US" w:eastAsia="zh-CN"/>
              </w:rPr>
              <w:t xml:space="preserve">处理</w:t>
            </w:r>
            <w:r/>
          </w:p>
        </w:tc>
        <w:tc>
          <w:tcPr>
            <w:shd w:val="clear" w:color="auto" w:fill="auto"/>
            <w:tcW w:w="660" w:type="dxa"/>
            <w:vAlign w:val="center"/>
            <w:textDirection w:val="lrTb"/>
            <w:noWrap w:val="false"/>
          </w:tcPr>
          <w:p>
            <w:pPr>
              <w:jc w:val="center"/>
              <w:spacing w:before="69" w:line="184" w:lineRule="auto"/>
              <w:widowControl/>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tc>
        <w:tc>
          <w:tcPr>
            <w:shd w:val="clear" w:color="auto" w:fill="auto"/>
            <w:tcW w:w="8490" w:type="dxa"/>
            <w:vAlign w:val="top"/>
            <w:textDirection w:val="lrTb"/>
            <w:noWrap w:val="false"/>
          </w:tcPr>
          <w:p>
            <w:pPr>
              <w:ind w:left="210" w:firstLine="0"/>
              <w:jc w:val="left"/>
              <w:spacing w:line="280" w:lineRule="exact"/>
              <w:widowControl/>
              <w:rPr>
                <w:rFonts w:hint="eastAsia" w:ascii="宋体" w:hAnsi="宋体" w:eastAsia="宋体" w:cs="宋体"/>
                <w:color w:val="auto"/>
                <w:spacing w:val="15"/>
                <w:sz w:val="21"/>
                <w:szCs w:val="21"/>
                <w:highlight w:val="none"/>
                <w:lang w:val="en-US"/>
              </w:rPr>
            </w:pPr>
            <w:r>
              <w:rPr>
                <w:rFonts w:hint="eastAsia" w:ascii="宋体" w:hAnsi="宋体" w:eastAsia="宋体" w:cs="宋体"/>
                <w:color w:val="auto"/>
                <w:spacing w:val="15"/>
                <w:sz w:val="21"/>
                <w:szCs w:val="21"/>
                <w:highlight w:val="none"/>
              </w:rPr>
              <w:t xml:space="preserve">投标</w:t>
            </w:r>
            <w:r>
              <w:rPr>
                <w:rFonts w:hint="eastAsia" w:ascii="宋体" w:hAnsi="宋体" w:eastAsia="宋体" w:cs="宋体"/>
                <w:color w:val="auto"/>
                <w:spacing w:val="15"/>
                <w:sz w:val="21"/>
                <w:szCs w:val="21"/>
                <w:highlight w:val="none"/>
                <w:lang w:val="en-US" w:eastAsia="zh-CN"/>
              </w:rPr>
              <w:t xml:space="preserve">人</w:t>
            </w:r>
            <w:r>
              <w:rPr>
                <w:rFonts w:hint="eastAsia" w:ascii="宋体" w:hAnsi="宋体" w:eastAsia="宋体" w:cs="宋体"/>
                <w:color w:val="auto"/>
                <w:spacing w:val="15"/>
                <w:sz w:val="21"/>
                <w:szCs w:val="21"/>
                <w:highlight w:val="none"/>
              </w:rPr>
              <w:t xml:space="preserve">针对本项目制定建立服务项目</w:t>
            </w:r>
            <w:r>
              <w:rPr>
                <w:rFonts w:hint="eastAsia" w:ascii="宋体" w:hAnsi="宋体" w:eastAsia="宋体" w:cs="宋体"/>
                <w:color w:val="auto"/>
                <w:spacing w:val="15"/>
                <w:sz w:val="21"/>
                <w:szCs w:val="21"/>
                <w:highlight w:val="none"/>
                <w:lang w:val="en-US" w:eastAsia="zh-CN"/>
              </w:rPr>
              <w:t xml:space="preserve">及</w:t>
            </w:r>
            <w:r>
              <w:rPr>
                <w:rFonts w:hint="eastAsia" w:ascii="宋体" w:hAnsi="宋体" w:eastAsia="宋体" w:cs="宋体"/>
                <w:color w:val="auto"/>
                <w:spacing w:val="15"/>
                <w:sz w:val="21"/>
                <w:szCs w:val="21"/>
                <w:highlight w:val="none"/>
              </w:rPr>
              <w:t xml:space="preserve">收费标准公示等制度并公示，健全儿童康复、授课教案等档案，专人管理。如出现投诉情况，须在1天内受理，5天之</w:t>
            </w:r>
            <w:r>
              <w:rPr>
                <w:rFonts w:hint="eastAsia" w:ascii="宋体" w:hAnsi="宋体" w:eastAsia="宋体" w:cs="宋体"/>
                <w:color w:val="auto"/>
                <w:spacing w:val="15"/>
                <w:sz w:val="21"/>
                <w:szCs w:val="21"/>
                <w:highlight w:val="none"/>
                <w:lang w:val="en-US" w:eastAsia="zh-CN"/>
              </w:rPr>
              <w:t xml:space="preserve">内</w:t>
            </w:r>
            <w:r>
              <w:rPr>
                <w:rFonts w:hint="eastAsia" w:ascii="宋体" w:hAnsi="宋体" w:eastAsia="宋体" w:cs="宋体"/>
                <w:color w:val="auto"/>
                <w:spacing w:val="15"/>
                <w:sz w:val="21"/>
                <w:szCs w:val="21"/>
                <w:highlight w:val="none"/>
              </w:rPr>
              <w:t xml:space="preserve">将处理情况反馈给</w:t>
            </w:r>
            <w:r>
              <w:rPr>
                <w:rFonts w:hint="eastAsia" w:ascii="宋体" w:hAnsi="宋体" w:eastAsia="宋体" w:cs="宋体"/>
                <w:color w:val="auto"/>
                <w:spacing w:val="15"/>
                <w:sz w:val="21"/>
                <w:szCs w:val="21"/>
                <w:highlight w:val="none"/>
                <w:lang w:val="en-US" w:eastAsia="zh-CN"/>
              </w:rPr>
              <w:t xml:space="preserve">赣榆区残疾人联合会</w:t>
            </w:r>
            <w:r>
              <w:rPr>
                <w:rFonts w:hint="eastAsia" w:ascii="宋体" w:hAnsi="宋体" w:eastAsia="宋体" w:cs="宋体"/>
                <w:color w:val="auto"/>
                <w:spacing w:val="15"/>
                <w:sz w:val="21"/>
                <w:szCs w:val="21"/>
                <w:highlight w:val="none"/>
              </w:rPr>
              <w:t xml:space="preserve">及家属的得3分。投标文件中提供加盖投标人公章的书面承诺函(格式自拟)，未提供不得分)。</w:t>
            </w:r>
            <w:r/>
          </w:p>
        </w:tc>
      </w:tr>
    </w:tbl>
    <w:p>
      <w:pPr>
        <w:ind w:firstLine="482"/>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w:t>
      </w:r>
      <w:r/>
    </w:p>
    <w:p>
      <w:pPr>
        <w:keepLines w:val="0"/>
        <w:keepNext w:val="0"/>
        <w:pageBreakBefore w:val="0"/>
        <w:spacing w:line="360" w:lineRule="auto"/>
        <w:widowControl w:val="off"/>
        <w:rPr>
          <w:rFonts w:hint="eastAsia" w:ascii="宋体" w:hAnsi="宋体" w:eastAsia="宋体" w:cs="宋体"/>
          <w:b w:val="0"/>
        </w:rPr>
      </w:pPr>
      <w:r>
        <w:rPr>
          <w:rFonts w:hint="eastAsia" w:ascii="宋体" w:hAnsi="宋体" w:eastAsia="宋体" w:cs="宋体"/>
          <w:b/>
          <w:bCs/>
          <w:color w:val="auto"/>
          <w:sz w:val="21"/>
          <w:szCs w:val="21"/>
          <w:highlight w:val="none"/>
        </w:rPr>
        <w:t xml:space="preserve">投标文件中所提供的全部证明材料，评审结束后</w:t>
      </w:r>
      <w:r>
        <w:rPr>
          <w:rFonts w:hint="eastAsia" w:ascii="宋体" w:hAnsi="宋体" w:eastAsia="宋体" w:cs="宋体"/>
          <w:b/>
          <w:bCs/>
          <w:color w:val="auto"/>
          <w:sz w:val="21"/>
          <w:szCs w:val="21"/>
          <w:highlight w:val="none"/>
          <w:lang w:val="en-US" w:eastAsia="zh-CN"/>
        </w:rPr>
        <w:t xml:space="preserve">采购人</w:t>
      </w:r>
      <w:r>
        <w:rPr>
          <w:rFonts w:hint="eastAsia" w:ascii="宋体" w:hAnsi="宋体" w:eastAsia="宋体" w:cs="宋体"/>
          <w:b/>
          <w:bCs/>
          <w:color w:val="auto"/>
          <w:sz w:val="21"/>
          <w:szCs w:val="21"/>
          <w:highlight w:val="none"/>
        </w:rPr>
        <w:t xml:space="preserve">有权进行核实，如有不实，将按照相关法律法规规定进行处理。</w:t>
      </w:r>
      <w:bookmarkStart w:id="5" w:name="_Toc155796361"/>
      <w:r/>
      <w:r/>
    </w:p>
    <w:p>
      <w:pPr>
        <w:pStyle w:val="767"/>
        <w:jc w:val="center"/>
        <w:spacing w:before="156" w:after="156" w:line="360" w:lineRule="auto"/>
        <w:rPr>
          <w:rFonts w:hint="eastAsia" w:ascii="宋体" w:hAnsi="宋体" w:eastAsia="宋体" w:cs="宋体"/>
          <w:b/>
          <w:bCs w:val="0"/>
          <w:sz w:val="32"/>
          <w:szCs w:val="32"/>
        </w:rPr>
      </w:pPr>
      <w:r>
        <w:rPr>
          <w:rFonts w:hint="eastAsia" w:ascii="宋体" w:hAnsi="宋体" w:eastAsia="宋体" w:cs="宋体"/>
          <w:b/>
          <w:bCs w:val="0"/>
          <w:sz w:val="32"/>
          <w:szCs w:val="32"/>
        </w:rPr>
        <w:t xml:space="preserve">第六章  投标文件格式</w:t>
      </w:r>
      <w:bookmarkEnd w:id="5"/>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r>
      <w:r/>
    </w:p>
    <w:p>
      <w:pPr>
        <w:jc w:val="center"/>
        <w:rPr>
          <w:rFonts w:hint="eastAsia" w:ascii="宋体" w:hAnsi="宋体" w:eastAsia="宋体" w:cs="宋体"/>
          <w:b/>
          <w:color w:val="auto"/>
          <w:sz w:val="72"/>
          <w:szCs w:val="52"/>
          <w:highlight w:val="none"/>
        </w:rPr>
      </w:pPr>
      <w:r>
        <w:rPr>
          <w:rFonts w:hint="eastAsia" w:ascii="宋体" w:hAnsi="宋体" w:eastAsia="宋体" w:cs="宋体"/>
          <w:b/>
          <w:color w:val="auto"/>
          <w:sz w:val="72"/>
          <w:szCs w:val="52"/>
          <w:highlight w:val="none"/>
        </w:rPr>
        <w:t xml:space="preserve">连 云 港 市 政 府 采 购</w:t>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r>
      <w:r/>
    </w:p>
    <w:p>
      <w:pPr>
        <w:jc w:val="center"/>
        <w:rPr>
          <w:rFonts w:hint="eastAsia" w:ascii="宋体" w:hAnsi="宋体" w:eastAsia="宋体" w:cs="宋体"/>
          <w:b/>
          <w:color w:val="auto"/>
          <w:sz w:val="72"/>
          <w:szCs w:val="84"/>
          <w:highlight w:val="none"/>
        </w:rPr>
      </w:pPr>
      <w:r>
        <w:rPr>
          <w:rFonts w:hint="eastAsia" w:ascii="宋体" w:hAnsi="宋体" w:eastAsia="宋体" w:cs="宋体"/>
          <w:b/>
          <w:color w:val="auto"/>
          <w:sz w:val="72"/>
          <w:szCs w:val="84"/>
          <w:highlight w:val="none"/>
        </w:rPr>
        <w:t xml:space="preserve">投标文件</w:t>
      </w:r>
      <w:r/>
    </w:p>
    <w:p>
      <w:pPr>
        <w:rPr>
          <w:rFonts w:hint="eastAsia" w:ascii="宋体" w:hAnsi="宋体" w:eastAsia="宋体" w:cs="宋体"/>
          <w:b/>
          <w:color w:val="auto"/>
          <w:sz w:val="52"/>
          <w:szCs w:val="52"/>
          <w:highlight w:val="none"/>
        </w:rPr>
      </w:pPr>
      <w:r>
        <w:rPr>
          <w:rFonts w:hint="eastAsia" w:ascii="宋体" w:hAnsi="宋体" w:eastAsia="宋体" w:cs="宋体"/>
          <w:b/>
          <w:color w:val="auto"/>
          <w:sz w:val="52"/>
          <w:szCs w:val="52"/>
          <w:highlight w:val="none"/>
        </w:rPr>
      </w:r>
      <w:r/>
    </w:p>
    <w:p>
      <w:pP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 段 名 称：【标段名称】 </w:t>
      </w:r>
      <w:r/>
    </w:p>
    <w:p>
      <w:pPr>
        <w:ind w:firstLine="964"/>
        <w:rPr>
          <w:rFonts w:hint="eastAsia" w:ascii="宋体" w:hAnsi="宋体" w:eastAsia="宋体" w:cs="宋体"/>
          <w:b/>
          <w:color w:val="auto"/>
          <w:sz w:val="32"/>
          <w:szCs w:val="32"/>
          <w:highlight w:val="none"/>
          <w:u w:val="single"/>
        </w:rPr>
      </w:pPr>
      <w:r>
        <w:rPr>
          <w:rFonts w:hint="eastAsia" w:ascii="宋体" w:hAnsi="宋体" w:eastAsia="宋体" w:cs="宋体"/>
          <w:b/>
          <w:color w:val="auto"/>
          <w:sz w:val="32"/>
          <w:szCs w:val="32"/>
          <w:highlight w:val="none"/>
        </w:rPr>
        <w:t xml:space="preserve">标 段 编 号：【标段编号】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投标人名称：</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投标人地址： </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w:t>
      </w:r>
      <w:r/>
    </w:p>
    <w:p>
      <w:pPr>
        <w:ind w:firstLine="964"/>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委托代理人：（委托代理时填写）              </w:t>
      </w:r>
      <w:r/>
    </w:p>
    <w:p>
      <w:pPr>
        <w:rPr>
          <w:rFonts w:hint="eastAsia" w:ascii="宋体" w:hAnsi="宋体" w:eastAsia="宋体" w:cs="宋体"/>
          <w:color w:val="auto"/>
          <w:sz w:val="24"/>
          <w:highlight w:val="none"/>
        </w:rPr>
      </w:pPr>
      <w:r>
        <w:rPr>
          <w:rFonts w:hint="eastAsia" w:ascii="宋体" w:hAnsi="宋体" w:eastAsia="宋体" w:cs="宋体"/>
          <w:b/>
          <w:color w:val="auto"/>
          <w:sz w:val="32"/>
          <w:szCs w:val="32"/>
          <w:highlight w:val="none"/>
        </w:rPr>
        <w:t xml:space="preserve">      日      期：</w:t>
      </w:r>
      <w:r>
        <w:rPr>
          <w:rFonts w:hint="eastAsia" w:ascii="宋体" w:hAnsi="宋体" w:eastAsia="宋体" w:cs="宋体"/>
          <w:b/>
          <w:color w:val="auto"/>
          <w:sz w:val="24"/>
          <w:highlight w:val="none"/>
        </w:rPr>
        <w:t xml:space="preserve"> </w:t>
      </w:r>
      <w:r/>
    </w:p>
    <w:p>
      <w:pPr>
        <w:pStyle w:val="768"/>
        <w:numPr>
          <w:ilvl w:val="0"/>
          <w:numId w:val="0"/>
        </w:numPr>
        <w:spacing w:before="0" w:after="0" w:line="24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77"/>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1.</w:t>
      </w:r>
      <w:r>
        <w:rPr>
          <w:rFonts w:hint="eastAsia" w:ascii="宋体" w:hAnsi="宋体" w:eastAsia="宋体" w:cs="宋体"/>
          <w:bCs/>
          <w:color w:val="auto"/>
          <w:sz w:val="28"/>
          <w:szCs w:val="28"/>
          <w:highlight w:val="none"/>
        </w:rPr>
        <w:t xml:space="preserve">响 应 函</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根据贵方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标段名称</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（标段编号：</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）采购文件，正式授权下述签字人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全权代表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参加贵方组织的采购活动，按照采购文件要求提交响应文件。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据此函，签字人兹宣布同意如下：</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我方完全响应项目需求所有内容，并</w:t>
      </w:r>
      <w:r>
        <w:rPr>
          <w:rFonts w:hint="eastAsia" w:ascii="宋体" w:hAnsi="宋体" w:eastAsia="宋体" w:cs="宋体"/>
          <w:color w:val="auto"/>
          <w:sz w:val="21"/>
          <w:szCs w:val="21"/>
          <w:highlight w:val="none"/>
        </w:rPr>
        <w:t xml:space="preserve">按采购文件项目需求提交响应报价，报价、交货期等详见开标一览表。</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2.我方同意在本标段采购文件中规定的响应文件递交截止之日起60天内遵守本响应文件中的承诺且在此期限期满之前均具有约束力。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3.我方承诺已经具备《中华人民共和国政府采购法》中规定的参加政府采购活动的供应商应当具备的条件：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(1)具有独立承担民事责任的能力；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(2)具有良好的商业信誉和健全的财务会计制度；</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(3)具有履行合同所必需的设备和专业技术能力；</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(4)有依法缴纳税收和社会保障资金的良好记录；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(5)参加此项采购活动前三年内，在经营活动中没有重大违法记录。</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4.我方根据采购文件的规定，承担完成合同的责任和义务。</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5.我方已详细审核采购文件，我方知道必须放弃提出含糊不清或误解问题的权利。</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6.如果在响应文件有效期内撤回或者有其他违约行为，我方的保证金可被贵方全部或部分没收。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7.同意应贵方要求提供与本次采购活动有关的任何数据或资料。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8.我方完全理解，最低报价不是中标（成交）的唯一条件。</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9.若贵方需要，我方愿意提供我方作出的一切承诺的证明材料。</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(1)提供虚假材料谋取中标、成交的；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(2)采取不正当手段诋毁、排挤其他供应商的；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(3)与采购人、其他供应商或者采购代理机构恶意串通的；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(4)向采购人、采购代理机构行贿或者提供其他不正当利益的；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(5)在招标采购过程中与采购人进行协商谈判的；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(6)拒绝有关部门监督检查或提供虚假情况的。</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法定代表人签字（或盖章）：</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供应商公章： </w:t>
      </w:r>
      <w:r/>
    </w:p>
    <w:p>
      <w:pPr>
        <w:ind w:firstLine="420"/>
        <w:jc w:val="both"/>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19"/>
        <w:rPr>
          <w:rFonts w:hint="eastAsia"/>
        </w:rPr>
      </w:pPr>
      <w:r>
        <w:rPr>
          <w:rFonts w:hint="eastAsia"/>
        </w:rPr>
      </w:r>
      <w:r/>
    </w:p>
    <w:p>
      <w:pPr>
        <w:ind w:firstLine="480"/>
        <w:jc w:val="left"/>
        <w:spacing w:line="360" w:lineRule="auto"/>
        <w:rPr>
          <w:rFonts w:hint="eastAsia" w:ascii="宋体" w:hAnsi="宋体" w:eastAsia="宋体" w:cs="宋体"/>
          <w:bCs/>
          <w:color w:val="auto"/>
          <w:sz w:val="24"/>
          <w:highlight w:val="none"/>
        </w:rPr>
      </w:pPr>
      <w:r/>
      <w:bookmarkStart w:id="6" w:name="_Toc91256336"/>
      <w:r/>
      <w:bookmarkStart w:id="7" w:name="_Toc91183848"/>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w:t>
      </w:r>
      <w:r/>
    </w:p>
    <w:p>
      <w:pPr>
        <w:ind w:firstLine="480"/>
        <w:jc w:val="left"/>
        <w:spacing w:line="360" w:lineRule="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rPr>
        <w:t xml:space="preserve">标段编号：</w:t>
      </w:r>
      <w:r/>
    </w:p>
    <w:p>
      <w:pPr>
        <w:ind w:firstLine="480"/>
        <w:jc w:val="left"/>
        <w:spacing w:line="360" w:lineRule="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 xml:space="preserve">标段名称：</w:t>
      </w:r>
      <w:r>
        <w:rPr>
          <w:rFonts w:hint="eastAsia" w:ascii="宋体" w:hAnsi="宋体" w:eastAsia="宋体" w:cs="宋体"/>
          <w:color w:val="auto"/>
          <w:sz w:val="21"/>
          <w:szCs w:val="21"/>
          <w:highlight w:val="none"/>
          <w:lang w:val="en-US" w:eastAsia="zh-CN"/>
        </w:rPr>
        <w:t xml:space="preserve">    </w:t>
      </w:r>
      <w:r/>
    </w:p>
    <w:p>
      <w:pPr>
        <w:pStyle w:val="977"/>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bl>
      <w:tblPr>
        <w:tblStyle w:val="777"/>
        <w:tblW w:w="9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6"/>
        <w:gridCol w:w="4313"/>
        <w:gridCol w:w="3025"/>
      </w:tblGrid>
      <w:tr>
        <w:trPr>
          <w:cantSplit/>
          <w:jc w:val="center"/>
          <w:trHeight w:val="1310"/>
        </w:trPr>
        <w:tc>
          <w:tcPr>
            <w:shd w:val="clear" w:color="auto" w:fill="auto"/>
            <w:tcW w:w="2426" w:type="dxa"/>
            <w:vAlign w:val="center"/>
            <w:textDirection w:val="lrTb"/>
            <w:noWrap w:val="false"/>
          </w:tcPr>
          <w:p>
            <w:pPr>
              <w:jc w:val="center"/>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rPr>
              <w:t xml:space="preserve">标题</w:t>
            </w:r>
            <w:r/>
          </w:p>
        </w:tc>
        <w:tc>
          <w:tcPr>
            <w:shd w:val="clear" w:color="auto" w:fill="auto"/>
            <w:tcW w:w="4313"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内容</w:t>
            </w:r>
            <w:r/>
          </w:p>
        </w:tc>
        <w:tc>
          <w:tcPr>
            <w:tcW w:w="30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报价（元</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天</w:t>
            </w:r>
            <w:r>
              <w:rPr>
                <w:rFonts w:hint="eastAsia" w:ascii="宋体" w:hAnsi="宋体" w:eastAsia="宋体" w:cs="宋体"/>
                <w:color w:val="auto"/>
                <w:sz w:val="21"/>
                <w:szCs w:val="21"/>
                <w:highlight w:val="none"/>
                <w:lang w:eastAsia="zh-CN"/>
              </w:rPr>
              <w:t xml:space="preserve">）</w:t>
            </w:r>
            <w:r/>
          </w:p>
        </w:tc>
      </w:tr>
      <w:tr>
        <w:trPr>
          <w:cantSplit/>
          <w:jc w:val="center"/>
          <w:trHeight w:val="1310"/>
        </w:trPr>
        <w:tc>
          <w:tcPr>
            <w:tcW w:w="2426" w:type="dxa"/>
            <w:vAlign w:val="center"/>
            <w:vMerge w:val="restart"/>
            <w:textDirection w:val="lrTb"/>
            <w:noWrap w:val="false"/>
          </w:tcPr>
          <w:p>
            <w:pPr>
              <w:jc w:val="center"/>
              <w:rPr>
                <w:rFonts w:hint="eastAsia" w:ascii="宋体" w:hAnsi="宋体" w:eastAsia="宋体" w:cs="宋体"/>
                <w:b/>
                <w:bCs/>
                <w:color w:val="auto"/>
                <w:sz w:val="21"/>
                <w:szCs w:val="21"/>
                <w:highlight w:val="none"/>
                <w:lang w:val="en-US"/>
              </w:rPr>
            </w:pPr>
            <w:r>
              <w:rPr>
                <w:rFonts w:hint="eastAsia" w:ascii="宋体" w:hAnsi="宋体" w:eastAsia="宋体" w:cs="宋体"/>
                <w:b w:val="0"/>
                <w:bCs w:val="0"/>
                <w:color w:val="auto"/>
                <w:sz w:val="21"/>
                <w:szCs w:val="21"/>
                <w:highlight w:val="none"/>
                <w:lang w:val="en-US" w:eastAsia="zh-CN"/>
              </w:rPr>
              <w:t xml:space="preserve">固定单价报价</w:t>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（4 小时，</w:t>
            </w:r>
            <w:r>
              <w:rPr>
                <w:rFonts w:hint="eastAsia" w:ascii="宋体" w:hAnsi="宋体" w:eastAsia="宋体" w:cs="宋体"/>
                <w:color w:val="auto"/>
                <w:sz w:val="21"/>
                <w:szCs w:val="21"/>
                <w:highlight w:val="none"/>
                <w:lang w:val="en-US" w:eastAsia="zh-CN"/>
              </w:rPr>
              <w:t xml:space="preserve">不含10元</w:t>
            </w:r>
            <w:r>
              <w:rPr>
                <w:rFonts w:hint="eastAsia" w:ascii="宋体" w:hAnsi="宋体" w:eastAsia="宋体" w:cs="宋体"/>
                <w:color w:val="auto"/>
                <w:sz w:val="21"/>
                <w:szCs w:val="21"/>
                <w:highlight w:val="none"/>
              </w:rPr>
              <w:t xml:space="preserve">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9</w:t>
            </w:r>
            <w:r>
              <w:rPr>
                <w:rFonts w:hint="eastAsia" w:ascii="宋体" w:hAnsi="宋体" w:eastAsia="宋体" w:cs="宋体"/>
                <w:color w:val="auto"/>
                <w:sz w:val="21"/>
                <w:szCs w:val="21"/>
              </w:rPr>
              <w:t xml:space="preserve">0 </w:t>
            </w:r>
            <w:r/>
          </w:p>
        </w:tc>
      </w:tr>
      <w:tr>
        <w:trPr>
          <w:cantSplit/>
          <w:jc w:val="center"/>
          <w:trHeight w:val="1310"/>
        </w:trPr>
        <w:tc>
          <w:tcPr>
            <w:tcW w:w="2426" w:type="dxa"/>
            <w:vAlign w:val="center"/>
            <w:vMerge w:val="continue"/>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tc>
        <w:tc>
          <w:tcPr>
            <w:shd w:val="clear" w:color="auto" w:fill="auto"/>
            <w:tcW w:w="4313"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岁非全日制孤独症基本康复服务</w:t>
            </w:r>
            <w:r/>
          </w:p>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（1.5小时，无伙食费）</w:t>
            </w:r>
            <w:r/>
          </w:p>
        </w:tc>
        <w:tc>
          <w:tcPr>
            <w:tcW w:w="3025" w:type="dxa"/>
            <w:vAlign w:val="center"/>
            <w:textDirection w:val="lrTb"/>
            <w:noWrap w:val="false"/>
          </w:tcPr>
          <w:p>
            <w:pPr>
              <w:jc w:val="center"/>
              <w:keepLines w:val="0"/>
              <w:keepNext w:val="0"/>
              <w:pageBreakBefore w:val="0"/>
              <w:spacing w:line="52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rPr>
              <w:t xml:space="preserve">7</w:t>
            </w:r>
            <w:r>
              <w:rPr>
                <w:rFonts w:hint="eastAsia" w:ascii="宋体" w:hAnsi="宋体" w:eastAsia="宋体" w:cs="宋体"/>
                <w:color w:val="auto"/>
                <w:spacing w:val="2"/>
                <w:sz w:val="21"/>
                <w:szCs w:val="21"/>
              </w:rPr>
              <w:t xml:space="preserve">4</w:t>
            </w:r>
            <w:r>
              <w:rPr>
                <w:rFonts w:hint="eastAsia" w:ascii="宋体" w:hAnsi="宋体" w:eastAsia="宋体" w:cs="宋体"/>
                <w:color w:val="auto"/>
                <w:sz w:val="21"/>
                <w:szCs w:val="21"/>
              </w:rPr>
              <w:t xml:space="preserve">.</w:t>
            </w:r>
            <w:r>
              <w:rPr>
                <w:rFonts w:hint="eastAsia" w:ascii="宋体" w:hAnsi="宋体" w:eastAsia="宋体" w:cs="宋体"/>
                <w:color w:val="auto"/>
                <w:spacing w:val="2"/>
                <w:sz w:val="21"/>
                <w:szCs w:val="21"/>
              </w:rPr>
              <w:t xml:space="preserve">0</w:t>
            </w:r>
            <w:r>
              <w:rPr>
                <w:rFonts w:hint="eastAsia" w:ascii="宋体" w:hAnsi="宋体" w:eastAsia="宋体" w:cs="宋体"/>
                <w:color w:val="auto"/>
                <w:sz w:val="21"/>
                <w:szCs w:val="21"/>
              </w:rPr>
              <w:t xml:space="preserve">7</w:t>
            </w:r>
            <w:r/>
          </w:p>
        </w:tc>
      </w:tr>
      <w:tr>
        <w:trPr>
          <w:cantSplit/>
          <w:jc w:val="center"/>
          <w:trHeight w:val="1310"/>
        </w:trPr>
        <w:tc>
          <w:tcPr>
            <w:tcW w:w="2426" w:type="dxa"/>
            <w:vAlign w:val="center"/>
            <w:textDirection w:val="lrTb"/>
            <w:noWrap w:val="false"/>
          </w:tcPr>
          <w:p>
            <w:pPr>
              <w:jc w:val="center"/>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服务期限</w:t>
            </w:r>
            <w:r/>
          </w:p>
        </w:tc>
        <w:tc>
          <w:tcPr>
            <w:gridSpan w:val="2"/>
            <w:shd w:val="clear" w:color="auto" w:fill="auto"/>
            <w:tcW w:w="7338" w:type="dxa"/>
            <w:vAlign w:val="center"/>
            <w:textDirection w:val="lrTb"/>
            <w:noWrap w:val="false"/>
          </w:tcPr>
          <w:p>
            <w:pPr>
              <w:ind w:left="0"/>
              <w:jc w:val="center"/>
              <w:keepLines w:val="0"/>
              <w:keepNext w:val="0"/>
              <w:pageBreakBefore w:val="0"/>
              <w:spacing w:line="52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投标人（盖章）：</w:t>
      </w:r>
      <w:r/>
    </w:p>
    <w:p>
      <w:pPr>
        <w:ind w:firstLine="480"/>
        <w:jc w:val="left"/>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法定代表人或委托代理人（签字或盖章）：</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日期：    年     月     日</w:t>
      </w:r>
      <w:r/>
    </w:p>
    <w:p>
      <w:pPr>
        <w:ind w:firstLine="480"/>
        <w:pageBreakBefore w:val="0"/>
        <w:spacing w:line="36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注：</w:t>
      </w:r>
      <w:r>
        <w:rPr>
          <w:rFonts w:hint="eastAsia" w:ascii="宋体" w:hAnsi="宋体" w:eastAsia="宋体" w:cs="宋体"/>
          <w:bCs/>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本项目采用固定价格采购的项目（无需进行报价），其价格不列为评审因素</w:t>
      </w:r>
      <w:r>
        <w:rPr>
          <w:rFonts w:hint="eastAsia" w:ascii="宋体" w:hAnsi="宋体" w:eastAsia="宋体" w:cs="宋体"/>
          <w:color w:val="auto"/>
          <w:sz w:val="21"/>
          <w:szCs w:val="21"/>
          <w:highlight w:val="none"/>
        </w:rPr>
        <w:t xml:space="preserve">。</w:t>
      </w:r>
      <w:r/>
    </w:p>
    <w:p>
      <w:pPr>
        <w:pStyle w:val="977"/>
        <w:ind w:firstLine="960"/>
        <w:keepLines w:val="0"/>
        <w:keepNext w:val="0"/>
        <w:pageBreakBefore w:val="0"/>
        <w:spacing w:line="4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实</w:t>
      </w:r>
      <w:r>
        <w:rPr>
          <w:rFonts w:hint="eastAsia" w:ascii="宋体" w:hAnsi="宋体" w:eastAsia="宋体" w:cs="宋体"/>
          <w:color w:val="auto"/>
          <w:sz w:val="21"/>
          <w:szCs w:val="21"/>
          <w:highlight w:val="none"/>
        </w:rPr>
        <w:t xml:space="preserve">际结算价在预算金额内以实际</w:t>
      </w:r>
      <w:r>
        <w:rPr>
          <w:rFonts w:hint="eastAsia" w:ascii="宋体" w:hAnsi="宋体" w:eastAsia="宋体" w:cs="宋体"/>
          <w:color w:val="auto"/>
          <w:sz w:val="21"/>
          <w:szCs w:val="21"/>
          <w:highlight w:val="none"/>
          <w:lang w:val="en-US" w:eastAsia="zh-CN"/>
        </w:rPr>
        <w:t xml:space="preserve">接受</w:t>
      </w:r>
      <w:r>
        <w:rPr>
          <w:rFonts w:hint="eastAsia" w:ascii="宋体" w:hAnsi="宋体" w:eastAsia="宋体" w:cs="宋体"/>
          <w:color w:val="auto"/>
          <w:sz w:val="21"/>
          <w:szCs w:val="21"/>
          <w:highlight w:val="none"/>
        </w:rPr>
        <w:t xml:space="preserve">人数为准，超过预算金额以预算金额为准</w:t>
      </w:r>
      <w:r/>
    </w:p>
    <w:p>
      <w:pPr>
        <w:pStyle w:val="779"/>
        <w:keepLines w:val="0"/>
        <w:keepNext w:val="0"/>
        <w:pageBreakBefore w:val="0"/>
        <w:spacing w:line="480" w:lineRule="exact"/>
        <w:widowControl w:val="off"/>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802"/>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pStyle w:val="779"/>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bookmarkEnd w:id="6"/>
      <w:r/>
      <w:bookmarkEnd w:id="7"/>
      <w:r/>
      <w:r/>
    </w:p>
    <w:p>
      <w:pPr>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财务状况报告及税收、社会保障资金缴纳情况承诺函</w:t>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致：</w:t>
      </w:r>
      <w:r>
        <w:rPr>
          <w:rFonts w:hint="eastAsia" w:ascii="宋体" w:hAnsi="宋体" w:eastAsia="宋体" w:cs="宋体"/>
          <w:color w:val="auto"/>
          <w:sz w:val="21"/>
          <w:szCs w:val="21"/>
          <w:highlight w:val="none"/>
          <w:u w:val="single"/>
        </w:rPr>
        <w:t xml:space="preserve">采购人名称</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w:t>
      </w: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参加</w:t>
      </w:r>
      <w:r>
        <w:rPr>
          <w:rFonts w:hint="eastAsia" w:ascii="宋体" w:hAnsi="宋体" w:eastAsia="宋体" w:cs="宋体"/>
          <w:color w:val="auto"/>
          <w:sz w:val="21"/>
          <w:szCs w:val="21"/>
          <w:highlight w:val="none"/>
          <w:u w:val="single"/>
          <w:lang w:val="en-US" w:eastAsia="zh-CN"/>
        </w:rPr>
        <w:t xml:space="preserve">标段</w:t>
      </w:r>
      <w:r>
        <w:rPr>
          <w:rFonts w:hint="eastAsia" w:ascii="宋体" w:hAnsi="宋体" w:eastAsia="宋体" w:cs="宋体"/>
          <w:color w:val="auto"/>
          <w:sz w:val="21"/>
          <w:szCs w:val="21"/>
          <w:highlight w:val="none"/>
          <w:u w:val="single"/>
        </w:rPr>
        <w:t xml:space="preserve">名称</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标段</w:t>
      </w:r>
      <w:r>
        <w:rPr>
          <w:rFonts w:hint="eastAsia" w:ascii="宋体" w:hAnsi="宋体" w:eastAsia="宋体" w:cs="宋体"/>
          <w:color w:val="auto"/>
          <w:sz w:val="21"/>
          <w:szCs w:val="21"/>
          <w:highlight w:val="none"/>
        </w:rPr>
        <w:t xml:space="preserve">编号：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rPr>
        <w:t xml:space="preserve">）采购，根据《</w:t>
      </w:r>
      <w:r>
        <w:rPr>
          <w:rStyle w:val="981"/>
          <w:rFonts w:hint="eastAsia" w:ascii="宋体" w:hAnsi="宋体" w:eastAsia="宋体" w:cs="宋体"/>
          <w:color w:val="auto"/>
          <w:sz w:val="21"/>
          <w:szCs w:val="21"/>
          <w:highlight w:val="none"/>
        </w:rPr>
        <w:t xml:space="preserve">关于简化政府采购供应商资格审查有关事项的通知</w:t>
      </w:r>
      <w:r>
        <w:rPr>
          <w:rFonts w:hint="eastAsia" w:ascii="宋体" w:hAnsi="宋体" w:eastAsia="宋体" w:cs="宋体"/>
          <w:color w:val="auto"/>
          <w:sz w:val="21"/>
          <w:szCs w:val="21"/>
          <w:highlight w:val="none"/>
        </w:rPr>
        <w:t xml:space="preserve">》（连财购〔2023〕4号），我方承诺具备《中华人民共和国政府采购法》第二十二条第（二）、第（四）项，《中华人民共和国政府采购法实施条例》第十七条第（二）项规定条件的，具体包括：</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（1）具有良好的商业信誉和健全的财务会计制度（财务状况报告）；</w:t>
      </w:r>
      <w:r/>
    </w:p>
    <w:p>
      <w:pPr>
        <w:ind w:left="0" w:firstLine="420"/>
        <w:jc w:val="both"/>
        <w:keepLines w:val="0"/>
        <w:keepNext w:val="0"/>
        <w:pageBreakBefore w:val="0"/>
        <w:spacing w:line="48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（2）有依法缴纳税收和社会保障资金的良好记录。</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left="0" w:firstLine="420"/>
        <w:jc w:val="both"/>
        <w:keepLines w:val="0"/>
        <w:keepNext w:val="0"/>
        <w:pageBreakBefore w:val="0"/>
        <w:spacing w:line="480" w:lineRule="auto"/>
        <w:widowControl/>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特此承诺</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供应商（公章）：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法定代表人或其委托代理人（签名或签章）：</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 </w:t>
      </w:r>
      <w:r/>
    </w:p>
    <w:p>
      <w:pPr>
        <w:ind w:left="0" w:firstLine="420"/>
        <w:jc w:val="both"/>
        <w:pageBreakBefore w:val="0"/>
        <w:spacing w:line="360" w:lineRule="auto"/>
        <w:rPr>
          <w:rFonts w:hint="eastAsia" w:ascii="宋体" w:hAnsi="宋体" w:eastAsia="宋体" w:cs="宋体"/>
          <w:color w:val="auto"/>
          <w:sz w:val="21"/>
          <w:szCs w:val="21"/>
          <w:highlight w:val="none"/>
        </w:rPr>
        <w:outlineLvl w:val="9"/>
      </w:pPr>
      <w:r>
        <w:rPr>
          <w:rFonts w:hint="eastAsia" w:ascii="宋体" w:hAnsi="宋体" w:eastAsia="宋体" w:cs="宋体"/>
          <w:color w:val="auto"/>
          <w:sz w:val="21"/>
          <w:szCs w:val="21"/>
          <w:highlight w:val="none"/>
        </w:rPr>
        <w:t xml:space="preserve">日期：</w:t>
      </w:r>
      <w:r/>
    </w:p>
    <w:p>
      <w:pPr>
        <w:numPr>
          <w:ilvl w:val="0"/>
          <w:numId w:val="0"/>
        </w:numPr>
        <w:ind w:left="0" w:firstLine="420"/>
        <w:jc w:val="both"/>
        <w:pageBreakBefore w:val="0"/>
        <w:spacing w:before="0" w:after="0" w:line="360" w:lineRule="auto"/>
        <w:rPr>
          <w:rFonts w:hint="eastAsia" w:ascii="宋体" w:hAnsi="宋体" w:eastAsia="宋体" w:cs="宋体"/>
          <w:bCs/>
          <w:color w:val="auto"/>
          <w:sz w:val="28"/>
          <w:szCs w:val="28"/>
          <w:highlight w:val="none"/>
        </w:rPr>
        <w:outlineLvl w:val="9"/>
      </w:pPr>
      <w:r>
        <w:rPr>
          <w:rFonts w:hint="eastAsia" w:ascii="宋体" w:hAnsi="宋体" w:eastAsia="宋体" w:cs="宋体"/>
          <w:color w:val="auto"/>
          <w:sz w:val="21"/>
          <w:szCs w:val="21"/>
          <w:highlight w:val="none"/>
        </w:rPr>
        <w:br w:type="page" w:clear="all"/>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rPr>
        <w:t xml:space="preserve">具备履行合同所必需的设备和专业技术能力的声明及证明材料</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（供应商名称）</w:t>
      </w:r>
      <w:r>
        <w:rPr>
          <w:rFonts w:hint="eastAsia" w:ascii="宋体" w:hAnsi="宋体" w:eastAsia="宋体" w:cs="宋体"/>
          <w:color w:val="auto"/>
          <w:sz w:val="21"/>
          <w:szCs w:val="21"/>
          <w:highlight w:val="none"/>
        </w:rPr>
        <w:t xml:space="preserve">郑重声明：我单位具备履行本项采购合同所必需的设备和专业技术能力，为履行本项采购合同我单位具备如下主要设备和主要专业技术能力：</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主要设备有：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主要专业技术能力有：</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。（须附证明材料）</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声明人（盖章）：</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附主要设备和主要专业技术能力的证明材料如下：</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768"/>
        <w:numPr>
          <w:ilvl w:val="0"/>
          <w:numId w:val="0"/>
        </w:numPr>
        <w:spacing w:before="0" w:after="0" w:line="240" w:lineRule="auto"/>
        <w:rPr>
          <w:rFonts w:hint="eastAsia" w:ascii="宋体" w:hAnsi="宋体" w:eastAsia="宋体" w:cs="宋体"/>
          <w:b w:val="0"/>
          <w:color w:val="auto"/>
          <w:highlight w:val="none"/>
        </w:rPr>
      </w:pPr>
      <w:r>
        <w:rPr>
          <w:rFonts w:hint="eastAsia" w:ascii="宋体" w:hAnsi="宋体" w:eastAsia="宋体" w:cs="宋体"/>
          <w:b w:val="0"/>
          <w:color w:val="auto"/>
          <w:highlight w:val="none"/>
        </w:rPr>
        <w:br w:type="page" w:clear="all"/>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参加政府采购活动前3年内在经营活动中没有重大违法记录的书面声明</w:t>
      </w:r>
      <w:r/>
    </w:p>
    <w:p>
      <w:pPr>
        <w:ind w:firstLine="422"/>
        <w:spacing w:line="4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声  明</w:t>
      </w:r>
      <w:r/>
    </w:p>
    <w:p>
      <w:pPr>
        <w:pStyle w:val="819"/>
        <w:rPr>
          <w:rFonts w:hint="eastAsia"/>
        </w:rPr>
      </w:pPr>
      <w:r>
        <w:rPr>
          <w:rFonts w:hint="eastAsia"/>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keepLines w:val="0"/>
        <w:keepNext w:val="0"/>
        <w:pageBreakBefore w:val="0"/>
        <w:spacing w:line="48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2"/>
        <w:keepLines w:val="0"/>
        <w:keepNext w:val="0"/>
        <w:pageBreakBefore w:val="0"/>
        <w:spacing w:line="48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授权委托书与法定代表人（单位负责人）身份证明</w:t>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授权委托书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本人</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（姓名）系</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（投标人名称）的法定代表人（单位负责人），现委托</w:t>
      </w:r>
      <w:r>
        <w:rPr>
          <w:rFonts w:hint="eastAsia" w:ascii="宋体" w:hAnsi="宋体" w:eastAsia="宋体" w:cs="宋体"/>
          <w:color w:val="auto"/>
          <w:sz w:val="21"/>
          <w:szCs w:val="21"/>
          <w:highlight w:val="none"/>
          <w:lang w:val="zh-CN"/>
        </w:rPr>
        <w:t xml:space="preserve">_______</w:t>
      </w:r>
      <w:r>
        <w:rPr>
          <w:rFonts w:hint="eastAsia" w:ascii="宋体" w:hAnsi="宋体" w:eastAsia="宋体" w:cs="宋体"/>
          <w:color w:val="auto"/>
          <w:sz w:val="21"/>
          <w:szCs w:val="21"/>
          <w:highlight w:val="none"/>
        </w:rPr>
        <w:t xml:space="preserve">（姓名）为我方代理人。代理人根据授权，以我方名义签署、澄清确认、递交、撤回、修改</w:t>
      </w:r>
      <w:r>
        <w:rPr>
          <w:rFonts w:hint="eastAsia" w:ascii="宋体" w:hAnsi="宋体" w:eastAsia="宋体" w:cs="宋体"/>
          <w:color w:val="auto"/>
          <w:sz w:val="21"/>
          <w:szCs w:val="21"/>
          <w:highlight w:val="none"/>
          <w:lang w:eastAsia="zh-CN"/>
        </w:rPr>
        <w:t xml:space="preserve">2026年度残疾儿童基本康复训练服务项目</w:t>
      </w:r>
      <w:r>
        <w:rPr>
          <w:rFonts w:hint="eastAsia" w:ascii="宋体" w:hAnsi="宋体" w:eastAsia="宋体" w:cs="宋体"/>
          <w:color w:val="auto"/>
          <w:sz w:val="21"/>
          <w:szCs w:val="21"/>
          <w:highlight w:val="none"/>
        </w:rPr>
        <w:t xml:space="preserve">（标段编号：）投标文件和处理有关事宜，其法律后果由我方承担。</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委托期限：自本授权委托书签署之日起至响应有效期届满之日止。</w:t>
      </w:r>
      <w:r/>
    </w:p>
    <w:p>
      <w:pPr>
        <w:ind w:firstLine="42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代理人无转委托权。</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法定代表人（单位负责人）（签字、签章或印鉴）：</w:t>
      </w:r>
      <w:r>
        <w:rPr>
          <w:rFonts w:hint="eastAsia" w:ascii="宋体" w:hAnsi="宋体" w:eastAsia="宋体" w:cs="宋体"/>
          <w:color w:val="auto"/>
          <w:sz w:val="21"/>
          <w:szCs w:val="21"/>
          <w:highlight w:val="none"/>
          <w:lang w:val="zh-CN"/>
        </w:rPr>
        <w:t xml:space="preserve">________________</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委托代理人（签字/签章）：</w:t>
      </w:r>
      <w:r>
        <w:rPr>
          <w:rFonts w:hint="eastAsia" w:ascii="宋体" w:hAnsi="宋体" w:eastAsia="宋体" w:cs="宋体"/>
          <w:color w:val="auto"/>
          <w:sz w:val="21"/>
          <w:szCs w:val="21"/>
          <w:highlight w:val="none"/>
          <w:lang w:val="zh-CN"/>
        </w:rPr>
        <w:t xml:space="preserve">________________</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                      </w:t>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ind w:firstLine="480"/>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法定代表人（单位负责人）有效期内的身份证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委托代理人有效期内的身份证</w:t>
      </w:r>
      <w:r>
        <w:rPr>
          <w:rFonts w:hint="eastAsia" w:ascii="宋体" w:hAnsi="宋体" w:eastAsia="宋体" w:cs="宋体"/>
          <w:b/>
          <w:color w:val="auto"/>
          <w:sz w:val="21"/>
          <w:szCs w:val="21"/>
          <w:highlight w:val="none"/>
        </w:rPr>
        <w:t xml:space="preserve">正反面</w:t>
      </w:r>
      <w:r>
        <w:rPr>
          <w:rFonts w:hint="eastAsia" w:ascii="宋体" w:hAnsi="宋体" w:eastAsia="宋体" w:cs="宋体"/>
          <w:color w:val="auto"/>
          <w:sz w:val="21"/>
          <w:szCs w:val="21"/>
          <w:highlight w:val="none"/>
        </w:rPr>
        <w:t xml:space="preserve">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2.若投标文件中签字之处均为法定代表人（单位负责人）本人签署，则可不提供本《授权委托书》，但须提供《法定代表人（单位负责人）身份证明》。</w:t>
      </w:r>
      <w:r/>
    </w:p>
    <w:p>
      <w:pPr>
        <w:jc w:val="left"/>
        <w:spacing w:line="360" w:lineRule="auto"/>
        <w:tabs>
          <w:tab w:val="left" w:pos="5580" w:leader="none"/>
        </w:tabs>
        <w:rPr>
          <w:rFonts w:hint="eastAsia" w:ascii="宋体" w:hAnsi="宋体" w:eastAsia="宋体" w:cs="宋体"/>
          <w:color w:val="auto"/>
          <w:sz w:val="30"/>
          <w:szCs w:val="30"/>
          <w:highlight w:val="none"/>
        </w:rPr>
      </w:pPr>
      <w:r>
        <w:rPr>
          <w:rFonts w:hint="eastAsia" w:ascii="宋体" w:hAnsi="宋体" w:eastAsia="宋体" w:cs="宋体"/>
          <w:color w:val="auto"/>
          <w:sz w:val="21"/>
          <w:szCs w:val="21"/>
          <w:highlight w:val="none"/>
        </w:rPr>
        <w:t xml:space="preserve">3.供应商为自然人的情形，可不提供本《授权委托书》。</w:t>
      </w:r>
      <w:r>
        <w:rPr>
          <w:rFonts w:hint="eastAsia" w:ascii="宋体" w:hAnsi="宋体" w:eastAsia="宋体" w:cs="宋体"/>
          <w:color w:val="auto"/>
          <w:sz w:val="30"/>
          <w:szCs w:val="30"/>
          <w:highlight w:val="none"/>
        </w:rPr>
        <w:br w:type="page" w:clear="all"/>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法定代表人（单位负责人）身份证明</w:t>
      </w:r>
      <w:r/>
    </w:p>
    <w:p>
      <w:pPr>
        <w:spacing w:line="20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姓名：____性别：____年龄：____职务：____</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系</w:t>
      </w:r>
      <w:r>
        <w:rPr>
          <w:rFonts w:hint="eastAsia" w:ascii="宋体" w:hAnsi="宋体" w:eastAsia="宋体" w:cs="宋体"/>
          <w:color w:val="auto"/>
          <w:sz w:val="21"/>
          <w:szCs w:val="21"/>
          <w:highlight w:val="none"/>
          <w:u w:val="single"/>
        </w:rPr>
        <w:tab/>
      </w:r>
      <w:r>
        <w:rPr>
          <w:rFonts w:hint="eastAsia" w:ascii="宋体" w:hAnsi="宋体" w:eastAsia="宋体" w:cs="宋体"/>
          <w:color w:val="auto"/>
          <w:sz w:val="21"/>
          <w:szCs w:val="21"/>
          <w:highlight w:val="none"/>
        </w:rPr>
        <w:t xml:space="preserve">（投标人名称）的法定代表人（单位负责人）。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46"/>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z w:val="21"/>
          <w:szCs w:val="21"/>
          <w:highlight w:val="none"/>
        </w:rPr>
        <w:t xml:space="preserve">附：</w:t>
      </w:r>
      <w:r>
        <w:rPr>
          <w:rFonts w:hint="eastAsia" w:ascii="宋体" w:hAnsi="宋体" w:eastAsia="宋体" w:cs="宋体"/>
          <w:color w:val="auto"/>
          <w:spacing w:val="-3"/>
          <w:sz w:val="21"/>
          <w:szCs w:val="21"/>
          <w:highlight w:val="none"/>
        </w:rPr>
        <w:t xml:space="preserve">法</w:t>
      </w:r>
      <w:r>
        <w:rPr>
          <w:rFonts w:hint="eastAsia" w:ascii="宋体" w:hAnsi="宋体" w:eastAsia="宋体" w:cs="宋体"/>
          <w:color w:val="auto"/>
          <w:sz w:val="21"/>
          <w:szCs w:val="21"/>
          <w:highlight w:val="none"/>
        </w:rPr>
        <w:t xml:space="preserve">定</w:t>
      </w:r>
      <w:r>
        <w:rPr>
          <w:rFonts w:hint="eastAsia" w:ascii="宋体" w:hAnsi="宋体" w:eastAsia="宋体" w:cs="宋体"/>
          <w:color w:val="auto"/>
          <w:spacing w:val="-3"/>
          <w:sz w:val="21"/>
          <w:szCs w:val="21"/>
          <w:highlight w:val="none"/>
        </w:rPr>
        <w:t xml:space="preserve">代</w:t>
      </w:r>
      <w:r>
        <w:rPr>
          <w:rFonts w:hint="eastAsia" w:ascii="宋体" w:hAnsi="宋体" w:eastAsia="宋体" w:cs="宋体"/>
          <w:color w:val="auto"/>
          <w:sz w:val="21"/>
          <w:szCs w:val="21"/>
          <w:highlight w:val="none"/>
        </w:rPr>
        <w:t xml:space="preserve">表</w:t>
      </w:r>
      <w:r>
        <w:rPr>
          <w:rFonts w:hint="eastAsia" w:ascii="宋体" w:hAnsi="宋体" w:eastAsia="宋体" w:cs="宋体"/>
          <w:color w:val="auto"/>
          <w:spacing w:val="-3"/>
          <w:sz w:val="21"/>
          <w:szCs w:val="21"/>
          <w:highlight w:val="none"/>
        </w:rPr>
        <w:t xml:space="preserve">人</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3"/>
          <w:sz w:val="21"/>
          <w:szCs w:val="21"/>
          <w:highlight w:val="none"/>
        </w:rPr>
        <w:t xml:space="preserve">单</w:t>
      </w:r>
      <w:r>
        <w:rPr>
          <w:rFonts w:hint="eastAsia" w:ascii="宋体" w:hAnsi="宋体" w:eastAsia="宋体" w:cs="宋体"/>
          <w:color w:val="auto"/>
          <w:sz w:val="21"/>
          <w:szCs w:val="21"/>
          <w:highlight w:val="none"/>
        </w:rPr>
        <w:t xml:space="preserve">位</w:t>
      </w:r>
      <w:r>
        <w:rPr>
          <w:rFonts w:hint="eastAsia" w:ascii="宋体" w:hAnsi="宋体" w:eastAsia="宋体" w:cs="宋体"/>
          <w:color w:val="auto"/>
          <w:spacing w:val="-3"/>
          <w:sz w:val="21"/>
          <w:szCs w:val="21"/>
          <w:highlight w:val="none"/>
        </w:rPr>
        <w:t xml:space="preserve">负</w:t>
      </w:r>
      <w:r>
        <w:rPr>
          <w:rFonts w:hint="eastAsia" w:ascii="宋体" w:hAnsi="宋体" w:eastAsia="宋体" w:cs="宋体"/>
          <w:color w:val="auto"/>
          <w:sz w:val="21"/>
          <w:szCs w:val="21"/>
          <w:highlight w:val="none"/>
        </w:rPr>
        <w:t xml:space="preserve">责人</w:t>
      </w:r>
      <w:r>
        <w:rPr>
          <w:rFonts w:hint="eastAsia" w:ascii="宋体" w:hAnsi="宋体" w:eastAsia="宋体" w:cs="宋体"/>
          <w:color w:val="auto"/>
          <w:spacing w:val="-3"/>
          <w:sz w:val="21"/>
          <w:szCs w:val="21"/>
          <w:highlight w:val="none"/>
        </w:rPr>
        <w:t xml:space="preserve">）有效期内的身份证正反面电子件。</w:t>
      </w:r>
      <w:r/>
    </w:p>
    <w:tbl>
      <w:tblPr>
        <w:tblStyle w:val="777"/>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spacing w:line="360" w:lineRule="auto"/>
              <w:tabs>
                <w:tab w:val="left" w:pos="55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ind w:right="430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投标人名称（加盖公章）</w:t>
      </w:r>
      <w:r>
        <w:rPr>
          <w:rFonts w:hint="eastAsia" w:ascii="宋体" w:hAnsi="宋体" w:eastAsia="宋体" w:cs="宋体"/>
          <w:color w:val="auto"/>
          <w:sz w:val="21"/>
          <w:szCs w:val="21"/>
          <w:highlight w:val="none"/>
          <w:lang w:val="zh-CN"/>
        </w:rPr>
        <w:t xml:space="preserve">：________________</w:t>
      </w:r>
      <w:r/>
    </w:p>
    <w:p>
      <w:pPr>
        <w:ind w:right="95"/>
        <w:spacing w:before="120" w:line="583" w:lineRule="auto"/>
        <w:tabs>
          <w:tab w:val="left" w:pos="567" w:leader="none"/>
        </w:tabs>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法定代表人（</w:t>
      </w:r>
      <w:r>
        <w:rPr>
          <w:rFonts w:hint="eastAsia" w:ascii="宋体" w:hAnsi="宋体" w:eastAsia="宋体" w:cs="宋体"/>
          <w:color w:val="auto"/>
          <w:sz w:val="21"/>
          <w:szCs w:val="21"/>
          <w:highlight w:val="none"/>
        </w:rPr>
        <w:t xml:space="preserve">单位负责人</w:t>
      </w:r>
      <w:r>
        <w:rPr>
          <w:rFonts w:hint="eastAsia" w:ascii="宋体" w:hAnsi="宋体" w:eastAsia="宋体" w:cs="宋体"/>
          <w:color w:val="auto"/>
          <w:spacing w:val="-3"/>
          <w:sz w:val="21"/>
          <w:szCs w:val="21"/>
          <w:highlight w:val="none"/>
        </w:rPr>
        <w:t xml:space="preserve">）（签字、签章或印鉴）：_______</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日期：_____年______月______日</w:t>
      </w:r>
      <w:r/>
    </w:p>
    <w:p>
      <w:pPr>
        <w:pStyle w:val="768"/>
        <w:numPr>
          <w:ilvl w:val="0"/>
          <w:numId w:val="0"/>
        </w:numPr>
        <w:spacing w:before="0" w:after="0" w:line="240" w:lineRule="auto"/>
        <w:rPr>
          <w:rFonts w:hint="eastAsia" w:ascii="宋体" w:hAnsi="宋体" w:eastAsia="宋体" w:cs="宋体"/>
          <w:b w:val="0"/>
          <w:bCs w:val="0"/>
          <w:color w:val="auto"/>
          <w:szCs w:val="21"/>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商务条款偏离表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商务条款偏离表</w:t>
      </w:r>
      <w:r/>
    </w:p>
    <w:p>
      <w:pPr>
        <w:pStyle w:val="819"/>
        <w:rPr>
          <w:rFonts w:hint="eastAsia"/>
        </w:rPr>
      </w:pPr>
      <w:r>
        <w:rPr>
          <w:rFonts w:hint="eastAsia"/>
        </w:rPr>
      </w:r>
      <w:r/>
    </w:p>
    <w:p>
      <w:pPr>
        <w:ind w:firstLine="48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请逐条对应</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文件“项目需求”等内容要求的商务条件，填写该表。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jc w:val="center"/>
          <w:trHeight w:val="496"/>
        </w:trPr>
        <w:tc>
          <w:tcP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文件的商务条款</w:t>
            </w:r>
            <w:r/>
          </w:p>
        </w:tc>
        <w:tc>
          <w:tcP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文件的商务条款</w:t>
            </w:r>
            <w:r/>
          </w:p>
        </w:tc>
        <w:tc>
          <w:tcP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496"/>
        </w:trPr>
        <w:tc>
          <w:tcPr>
            <w:tcW w:w="1010"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602"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746"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293" w:type="dxa"/>
            <w:vAlign w:val="top"/>
            <w:textDirection w:val="lrTb"/>
            <w:noWrap w:val="false"/>
          </w:tcPr>
          <w:p>
            <w:pPr>
              <w:ind w:firstLine="480"/>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pStyle w:val="786"/>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jc w:val="left"/>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68"/>
        <w:ind w:left="0" w:right="0" w:firstLine="0"/>
        <w:jc w:val="both"/>
        <w:spacing w:before="0" w:after="0"/>
        <w:rPr>
          <w:b w:val="0"/>
          <w:b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技术条款偏离表</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技术条款偏离表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0"/>
        <w:gridCol w:w="2602"/>
        <w:gridCol w:w="2746"/>
        <w:gridCol w:w="2293"/>
      </w:tblGrid>
      <w:tr>
        <w:trPr>
          <w:trHeight w:val="4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投标文件的技术条款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center"/>
            <w:textDirection w:val="lrTb"/>
            <w:noWrap w:val="false"/>
          </w:tcPr>
          <w:p>
            <w:p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偏离说明</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0"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2"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6"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3" w:type="dxa"/>
            <w:vAlign w:val="top"/>
            <w:textDirection w:val="lrTb"/>
            <w:noWrap w:val="false"/>
          </w:tcPr>
          <w:p>
            <w:pPr>
              <w:ind w:left="0" w:right="0" w:firstLine="480"/>
              <w:jc w:val="center"/>
              <w:spacing w:before="0" w:after="0"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注：“偏离说明”填写“正偏离”“负偏离”或“无偏离”。</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日期：年月日</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rPr>
        <w:t xml:space="preserve">承诺书</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承诺书</w:t>
      </w:r>
      <w:r/>
    </w:p>
    <w:p>
      <w:pPr>
        <w:pStyle w:val="819"/>
        <w:rPr>
          <w:rFonts w:hint="eastAsia"/>
        </w:rPr>
      </w:pPr>
      <w:r>
        <w:rPr>
          <w:rFonts w:hint="eastAsia"/>
        </w:rPr>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pStyle w:val="768"/>
        <w:numPr>
          <w:ilvl w:val="0"/>
          <w:numId w:val="0"/>
        </w:numPr>
        <w:spacing w:before="0" w:after="0" w:line="240" w:lineRule="auto"/>
        <w:rPr>
          <w:rFonts w:hint="eastAsia" w:ascii="宋体" w:hAnsi="宋体" w:eastAsia="宋体" w:cs="宋体"/>
          <w:color w:val="auto"/>
          <w:szCs w:val="21"/>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项目团队人员一览表</w:t>
      </w:r>
      <w:r/>
    </w:p>
    <w:p>
      <w:pPr>
        <w:ind w:firstLine="3233"/>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项目团队人员一览表</w:t>
      </w:r>
      <w:r/>
    </w:p>
    <w:tbl>
      <w:tblPr>
        <w:tblStyle w:val="777"/>
        <w:tblpPr w:horzAnchor="margin" w:tblpXSpec="left"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905"/>
        <w:gridCol w:w="1127"/>
        <w:gridCol w:w="896"/>
        <w:gridCol w:w="896"/>
        <w:gridCol w:w="2814"/>
      </w:tblGrid>
      <w:tr>
        <w:trPr>
          <w:trHeight w:val="930"/>
        </w:trPr>
        <w:tc>
          <w:tcPr>
            <w:tcW w:w="1470"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姓  名</w:t>
            </w:r>
            <w:r/>
          </w:p>
        </w:tc>
        <w:tc>
          <w:tcPr>
            <w:tcW w:w="1905"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本项目拟任</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  务</w:t>
            </w:r>
            <w:r/>
          </w:p>
        </w:tc>
        <w:tc>
          <w:tcPr>
            <w:tcW w:w="1127"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w:t>
            </w:r>
            <w:r/>
          </w:p>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tcW w:w="896"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tcW w:w="2814" w:type="dxa"/>
            <w:vAlign w:val="center"/>
            <w:textDirection w:val="lrTb"/>
            <w:noWrap w:val="false"/>
          </w:tcPr>
          <w:p>
            <w:pPr>
              <w:jc w:val="center"/>
              <w:spacing w:line="52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主要资历及担任过的职务</w:t>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trHeight w:val="729"/>
        </w:trPr>
        <w:tc>
          <w:tcPr>
            <w:tcW w:w="1470"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90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127"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896"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8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类似项目业绩一览表</w:t>
      </w:r>
      <w:r/>
    </w:p>
    <w:p>
      <w:pPr>
        <w:jc w:val="center"/>
        <w:spacing w:line="520" w:lineRule="exact"/>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类似项目业绩一览表</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418"/>
      </w:tblGrid>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2439" w:type="dxa"/>
            <w:vAlign w:val="center"/>
            <w:textDirection w:val="lrTb"/>
            <w:noWrap w:val="false"/>
          </w:tcPr>
          <w:p>
            <w:pPr>
              <w:jc w:val="center"/>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项目名称</w:t>
            </w:r>
            <w:r/>
          </w:p>
        </w:tc>
        <w:tc>
          <w:tcPr>
            <w:tcW w:w="2135"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签订时间</w:t>
            </w:r>
            <w:r/>
          </w:p>
        </w:tc>
        <w:tc>
          <w:tcPr>
            <w:tcW w:w="135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采购单位</w:t>
            </w:r>
            <w:r/>
          </w:p>
        </w:tc>
        <w:tc>
          <w:tcPr>
            <w:tcW w:w="2418" w:type="dxa"/>
            <w:vAlign w:val="center"/>
            <w:textDirection w:val="lrTb"/>
            <w:noWrap w:val="false"/>
          </w:tcPr>
          <w:p>
            <w:pPr>
              <w:jc w:val="center"/>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主要标的</w:t>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53"/>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772"/>
        </w:trPr>
        <w:tc>
          <w:tcPr>
            <w:tcW w:w="1014"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9"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135"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5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18" w:type="dxa"/>
            <w:vAlign w:val="center"/>
            <w:textDirection w:val="lrTb"/>
            <w:noWrap w:val="false"/>
          </w:tcPr>
          <w:p>
            <w:pPr>
              <w:jc w:val="center"/>
              <w:spacing w:line="52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jc w:val="cente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投标人（盖章）：</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786"/>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786"/>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68"/>
        <w:numPr>
          <w:ilvl w:val="0"/>
          <w:numId w:val="0"/>
        </w:numP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项目需求响应</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项目需求响应</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（请按“项目需求”等内容要求自行填写，格式自定）</w:t>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投标人（盖章）：</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法定代表人或委托代理人（签字或盖章）：</w:t>
      </w:r>
      <w:r/>
    </w:p>
    <w:p>
      <w:pPr>
        <w:pStyle w:val="786"/>
        <w:ind w:firstLine="480"/>
        <w:spacing w:line="360" w:lineRule="auto"/>
        <w:rPr>
          <w:rFonts w:hint="eastAsia" w:ascii="宋体" w:hAnsi="宋体" w:eastAsia="宋体" w:cs="宋体"/>
          <w:color w:val="auto"/>
          <w:spacing w:val="6"/>
          <w:sz w:val="30"/>
          <w:szCs w:val="30"/>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68"/>
        <w:numPr>
          <w:ilvl w:val="0"/>
          <w:numId w:val="0"/>
        </w:numPr>
        <w:spacing w:before="0" w:after="0" w:line="240" w:lineRule="auto"/>
        <w:rPr>
          <w:rFonts w:hint="eastAsia" w:ascii="宋体" w:hAnsi="宋体" w:eastAsia="宋体" w:cs="宋体"/>
          <w:color w:val="auto"/>
          <w:highlight w:val="none"/>
          <w:lang w:eastAsia="zh-CN"/>
        </w:rPr>
      </w:pPr>
      <w:r>
        <w:rPr>
          <w:rFonts w:hint="eastAsia" w:ascii="宋体" w:hAnsi="宋体" w:eastAsia="宋体" w:cs="宋体"/>
          <w:color w:val="auto"/>
          <w:sz w:val="24"/>
          <w:highlight w:val="none"/>
          <w:lang w:val="en-US" w:eastAsia="zh-CN"/>
        </w:rPr>
        <w:t xml:space="preserve">13.其他资料</w:t>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其他资料</w:t>
      </w:r>
      <w:r/>
    </w:p>
    <w:p>
      <w:pPr>
        <w:pStyle w:val="786"/>
        <w:ind w:firstLine="48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（自行填写，格式自定）</w:t>
      </w:r>
      <w:r/>
    </w:p>
    <w:p>
      <w:pPr>
        <w:pStyle w:val="9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0"/>
        <w:jc w:val="left"/>
        <w:spacing w:line="500" w:lineRule="exact"/>
        <w:widowControl/>
        <w:rPr>
          <w:rFonts w:hint="eastAsia" w:ascii="宋体" w:hAnsi="宋体" w:eastAsia="宋体" w:cs="宋体"/>
          <w:sz w:val="24"/>
          <w:szCs w:val="24"/>
        </w:rPr>
      </w:pPr>
      <w:r>
        <w:rPr>
          <w:rFonts w:hint="eastAsia" w:ascii="宋体" w:hAnsi="宋体" w:eastAsia="宋体" w:cs="宋体"/>
          <w:sz w:val="24"/>
          <w:szCs w:val="24"/>
        </w:rPr>
      </w:r>
      <w:r/>
    </w:p>
    <w:sectPr>
      <w:footerReference w:type="default" r:id="rId11"/>
      <w:footnotePr/>
      <w:endnotePr/>
      <w:type w:val="nextPage"/>
      <w:pgSz w:w="11911" w:h="16838" w:orient="portrait"/>
      <w:pgMar w:top="1417" w:right="1247" w:bottom="1417" w:left="1247" w:header="884" w:footer="0"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SimSun">
    <w:panose1 w:val="02010600030101010101"/>
  </w:font>
  <w:font w:name="Microsoft JhengHei">
    <w:panose1 w:val="020B060403050404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79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53583"/>
                      <w:docPartObj>
                        <w:docPartGallery w:val="autotext"/>
                      </w:docPartObj>
                      <w:rPr/>
                    </w:sdtPr>
                    <w:sdtContent>
                      <w:p>
                        <w:pPr>
                          <w:pStyle w:val="791"/>
                          <w:jc w:val="center"/>
                        </w:pPr>
                        <w:r>
                          <w:fldChar w:fldCharType="begin"/>
                        </w:r>
                        <w:r>
                          <w:instrText xml:space="preserve"> PAGE   \* MERGEFORMAT </w:instrText>
                        </w:r>
                        <w:r>
                          <w:fldChar w:fldCharType="separate"/>
                        </w:r>
                        <w:r>
                          <w:rPr>
                            <w:lang w:val="zh-CN"/>
                          </w:rPr>
                          <w:t xml:space="preserve">16</w:t>
                        </w:r>
                        <w:r>
                          <w:rPr>
                            <w:lang w:val="zh-CN"/>
                          </w:rPr>
                          <w:fldChar w:fldCharType="end"/>
                        </w:r>
                        <w:r/>
                      </w:p>
                    </w:sdtContent>
                  </w:sdt>
                  <w:p>
                    <w:r/>
                    <w:r/>
                  </w:p>
                </w:txbxContent>
              </v:textbox>
            </v:shape>
          </w:pict>
        </mc:Fallback>
      </mc:AlternateContent>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6" w:default="1">
    <w:name w:val="Normal"/>
    <w:link w:val="984"/>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67">
    <w:name w:val="Heading 1"/>
    <w:basedOn w:val="766"/>
    <w:next w:val="766"/>
    <w:link w:val="970"/>
    <w:uiPriority w:val="9"/>
    <w:qFormat/>
    <w:pPr>
      <w:keepLines/>
      <w:keepNext/>
      <w:spacing w:before="340" w:after="330" w:line="578" w:lineRule="auto"/>
      <w:outlineLvl w:val="0"/>
    </w:pPr>
    <w:rPr>
      <w:b/>
      <w:bCs/>
      <w:sz w:val="44"/>
      <w:szCs w:val="44"/>
    </w:rPr>
  </w:style>
  <w:style w:type="paragraph" w:styleId="768">
    <w:name w:val="Heading 2"/>
    <w:basedOn w:val="766"/>
    <w:next w:val="766"/>
    <w:link w:val="9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69">
    <w:name w:val="Heading 3"/>
    <w:basedOn w:val="766"/>
    <w:next w:val="766"/>
    <w:link w:val="973"/>
    <w:uiPriority w:val="9"/>
    <w:unhideWhenUsed/>
    <w:qFormat/>
    <w:pPr>
      <w:keepLines/>
      <w:keepNext/>
      <w:spacing w:before="260" w:after="260" w:line="416" w:lineRule="auto"/>
      <w:outlineLvl w:val="2"/>
    </w:pPr>
    <w:rPr>
      <w:b/>
      <w:bCs/>
      <w:sz w:val="32"/>
      <w:szCs w:val="32"/>
    </w:rPr>
  </w:style>
  <w:style w:type="paragraph" w:styleId="770">
    <w:name w:val="Heading 4"/>
    <w:basedOn w:val="766"/>
    <w:next w:val="766"/>
    <w:link w:val="823"/>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24"/>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25"/>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7"/>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8"/>
    <w:uiPriority w:val="9"/>
    <w:unhideWhenUsed/>
    <w:qFormat/>
    <w:pPr>
      <w:keepLines/>
      <w:keepNext/>
      <w:spacing w:before="320" w:after="200"/>
      <w:outlineLvl w:val="8"/>
    </w:pPr>
    <w:rPr>
      <w:rFonts w:ascii="Arial" w:hAnsi="Arial" w:eastAsia="Arial" w:cs="Arial"/>
      <w:i/>
      <w:iCs/>
      <w:sz w:val="21"/>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right="0" w:firstLine="0"/>
      <w:spacing w:after="57"/>
    </w:pPr>
  </w:style>
  <w:style w:type="paragraph" w:styleId="779">
    <w:name w:val="table of authorities"/>
    <w:basedOn w:val="766"/>
    <w:next w:val="766"/>
    <w:uiPriority w:val="0"/>
    <w:unhideWhenUsed/>
    <w:qFormat/>
    <w:pPr>
      <w:ind w:left="420"/>
    </w:pPr>
  </w:style>
  <w:style w:type="paragraph" w:styleId="780">
    <w:name w:val="Caption"/>
    <w:basedOn w:val="766"/>
    <w:next w:val="7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Document Map"/>
    <w:basedOn w:val="766"/>
    <w:link w:val="971"/>
    <w:uiPriority w:val="99"/>
    <w:semiHidden/>
    <w:unhideWhenUsed/>
    <w:qFormat/>
    <w:rPr>
      <w:rFonts w:ascii="宋体" w:eastAsia="宋体"/>
      <w:sz w:val="18"/>
      <w:szCs w:val="18"/>
    </w:rPr>
  </w:style>
  <w:style w:type="paragraph" w:styleId="782">
    <w:name w:val="annotation text"/>
    <w:basedOn w:val="766"/>
    <w:link w:val="975"/>
    <w:uiPriority w:val="0"/>
    <w:qFormat/>
    <w:pPr>
      <w:ind w:firstLine="922"/>
      <w:jc w:val="left"/>
      <w:spacing w:line="360" w:lineRule="auto"/>
    </w:pPr>
    <w:rPr>
      <w:rFonts w:ascii="Times New Roman" w:hAnsi="Times New Roman" w:eastAsia="宋体" w:cs="Times New Roman"/>
      <w:szCs w:val="24"/>
    </w:rPr>
  </w:style>
  <w:style w:type="paragraph" w:styleId="783">
    <w:name w:val="Body Text"/>
    <w:basedOn w:val="766"/>
    <w:uiPriority w:val="1"/>
    <w:qFormat/>
    <w:rPr>
      <w:sz w:val="24"/>
      <w:szCs w:val="24"/>
    </w:rPr>
  </w:style>
  <w:style w:type="paragraph" w:styleId="784">
    <w:name w:val="toc 5"/>
    <w:basedOn w:val="766"/>
    <w:next w:val="766"/>
    <w:uiPriority w:val="39"/>
    <w:unhideWhenUsed/>
    <w:qFormat/>
    <w:pPr>
      <w:ind w:left="1134" w:right="0" w:firstLine="0"/>
      <w:spacing w:after="57"/>
    </w:pPr>
  </w:style>
  <w:style w:type="paragraph" w:styleId="785">
    <w:name w:val="toc 3"/>
    <w:basedOn w:val="766"/>
    <w:next w:val="766"/>
    <w:uiPriority w:val="39"/>
    <w:unhideWhenUsed/>
    <w:qFormat/>
    <w:pPr>
      <w:ind w:left="567" w:right="0" w:firstLine="0"/>
      <w:spacing w:after="57"/>
    </w:pPr>
  </w:style>
  <w:style w:type="paragraph" w:styleId="786">
    <w:name w:val="Plain Text"/>
    <w:basedOn w:val="766"/>
    <w:link w:val="979"/>
    <w:uiPriority w:val="0"/>
    <w:qFormat/>
    <w:rPr>
      <w:rFonts w:ascii="宋体" w:hAnsi="Courier New" w:eastAsia="宋体" w:cs="Times New Roman"/>
      <w:szCs w:val="20"/>
    </w:rPr>
  </w:style>
  <w:style w:type="paragraph" w:styleId="787">
    <w:name w:val="toc 8"/>
    <w:basedOn w:val="766"/>
    <w:next w:val="766"/>
    <w:uiPriority w:val="39"/>
    <w:unhideWhenUsed/>
    <w:qFormat/>
    <w:pPr>
      <w:ind w:left="1984" w:right="0" w:firstLine="0"/>
      <w:spacing w:after="57"/>
    </w:pPr>
  </w:style>
  <w:style w:type="paragraph" w:styleId="788">
    <w:name w:val="Date"/>
    <w:basedOn w:val="766"/>
    <w:next w:val="766"/>
    <w:link w:val="974"/>
    <w:uiPriority w:val="99"/>
    <w:semiHidden/>
    <w:unhideWhenUsed/>
    <w:qFormat/>
    <w:pPr>
      <w:ind w:left="100"/>
    </w:pPr>
  </w:style>
  <w:style w:type="paragraph" w:styleId="789">
    <w:name w:val="endnote text"/>
    <w:basedOn w:val="766"/>
    <w:link w:val="966"/>
    <w:uiPriority w:val="99"/>
    <w:semiHidden/>
    <w:unhideWhenUsed/>
    <w:qFormat/>
    <w:pPr>
      <w:spacing w:after="0" w:line="240" w:lineRule="auto"/>
    </w:pPr>
    <w:rPr>
      <w:sz w:val="20"/>
    </w:rPr>
  </w:style>
  <w:style w:type="paragraph" w:styleId="790">
    <w:name w:val="Balloon Text"/>
    <w:basedOn w:val="766"/>
    <w:link w:val="976"/>
    <w:uiPriority w:val="99"/>
    <w:semiHidden/>
    <w:unhideWhenUsed/>
    <w:qFormat/>
    <w:rPr>
      <w:sz w:val="18"/>
      <w:szCs w:val="18"/>
    </w:rPr>
  </w:style>
  <w:style w:type="paragraph" w:styleId="791">
    <w:name w:val="Footer"/>
    <w:basedOn w:val="766"/>
    <w:link w:val="969"/>
    <w:uiPriority w:val="99"/>
    <w:unhideWhenUsed/>
    <w:qFormat/>
    <w:pPr>
      <w:jc w:val="left"/>
      <w:tabs>
        <w:tab w:val="center" w:pos="4153" w:leader="none"/>
        <w:tab w:val="right" w:pos="8306" w:leader="none"/>
      </w:tabs>
    </w:pPr>
    <w:rPr>
      <w:sz w:val="18"/>
      <w:szCs w:val="18"/>
    </w:rPr>
  </w:style>
  <w:style w:type="paragraph" w:styleId="792">
    <w:name w:val="Header"/>
    <w:basedOn w:val="766"/>
    <w:next w:val="793"/>
    <w:link w:val="96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3" w:customStyle="1">
    <w:name w:val="Quote1"/>
    <w:basedOn w:val="766"/>
    <w:next w:val="766"/>
    <w:uiPriority w:val="99"/>
    <w:qFormat/>
    <w:pPr>
      <w:ind w:left="864" w:right="864"/>
      <w:jc w:val="center"/>
      <w:spacing w:before="200" w:after="160"/>
      <w:widowControl/>
    </w:pPr>
    <w:rPr>
      <w:rFonts w:ascii="宋体"/>
      <w:i/>
      <w:color w:val="404040"/>
    </w:rPr>
  </w:style>
  <w:style w:type="paragraph" w:styleId="794">
    <w:name w:val="toc 1"/>
    <w:basedOn w:val="766"/>
    <w:next w:val="766"/>
    <w:uiPriority w:val="39"/>
    <w:unhideWhenUsed/>
    <w:qFormat/>
  </w:style>
  <w:style w:type="paragraph" w:styleId="795">
    <w:name w:val="toc 4"/>
    <w:basedOn w:val="766"/>
    <w:next w:val="766"/>
    <w:uiPriority w:val="39"/>
    <w:unhideWhenUsed/>
    <w:qFormat/>
    <w:pPr>
      <w:ind w:left="850" w:right="0" w:firstLine="0"/>
      <w:spacing w:after="57"/>
    </w:pPr>
  </w:style>
  <w:style w:type="paragraph" w:styleId="796">
    <w:name w:val="Subtitle"/>
    <w:basedOn w:val="766"/>
    <w:next w:val="766"/>
    <w:link w:val="832"/>
    <w:uiPriority w:val="11"/>
    <w:qFormat/>
    <w:pPr>
      <w:spacing w:before="200" w:after="200"/>
    </w:pPr>
    <w:rPr>
      <w:sz w:val="24"/>
      <w:szCs w:val="24"/>
    </w:rPr>
  </w:style>
  <w:style w:type="paragraph" w:styleId="797">
    <w:name w:val="footnote text"/>
    <w:basedOn w:val="766"/>
    <w:link w:val="965"/>
    <w:uiPriority w:val="99"/>
    <w:semiHidden/>
    <w:unhideWhenUsed/>
    <w:qFormat/>
    <w:pPr>
      <w:spacing w:after="40" w:line="240" w:lineRule="auto"/>
    </w:pPr>
    <w:rPr>
      <w:sz w:val="18"/>
    </w:rPr>
  </w:style>
  <w:style w:type="paragraph" w:styleId="798">
    <w:name w:val="toc 6"/>
    <w:basedOn w:val="766"/>
    <w:next w:val="766"/>
    <w:uiPriority w:val="39"/>
    <w:unhideWhenUsed/>
    <w:qFormat/>
    <w:pPr>
      <w:ind w:left="1417" w:right="0" w:firstLine="0"/>
      <w:spacing w:after="57"/>
    </w:pPr>
  </w:style>
  <w:style w:type="paragraph" w:styleId="799">
    <w:name w:val="table of figures"/>
    <w:basedOn w:val="766"/>
    <w:next w:val="766"/>
    <w:uiPriority w:val="99"/>
    <w:unhideWhenUsed/>
    <w:qFormat/>
    <w:pPr>
      <w:spacing w:after="0" w:afterAutospacing="0"/>
    </w:pPr>
  </w:style>
  <w:style w:type="paragraph" w:styleId="800">
    <w:name w:val="toc 2"/>
    <w:basedOn w:val="766"/>
    <w:next w:val="766"/>
    <w:uiPriority w:val="39"/>
    <w:unhideWhenUsed/>
    <w:qFormat/>
    <w:pPr>
      <w:ind w:left="283" w:right="0" w:firstLine="0"/>
      <w:spacing w:after="57"/>
    </w:pPr>
  </w:style>
  <w:style w:type="paragraph" w:styleId="801">
    <w:name w:val="toc 9"/>
    <w:basedOn w:val="766"/>
    <w:next w:val="766"/>
    <w:uiPriority w:val="39"/>
    <w:unhideWhenUsed/>
    <w:qFormat/>
    <w:pPr>
      <w:ind w:left="2268" w:right="0" w:firstLine="0"/>
      <w:spacing w:after="57"/>
    </w:pPr>
  </w:style>
  <w:style w:type="paragraph" w:styleId="802">
    <w:name w:val="List Continue 2"/>
    <w:basedOn w:val="766"/>
    <w:next w:val="766"/>
    <w:uiPriority w:val="0"/>
    <w:qFormat/>
    <w:pPr>
      <w:ind w:left="840"/>
      <w:spacing w:after="120"/>
    </w:pPr>
    <w:rPr>
      <w:rFonts w:eastAsia="宋体"/>
    </w:rPr>
  </w:style>
  <w:style w:type="paragraph" w:styleId="803">
    <w:name w:val="Normal (Web)"/>
    <w:basedOn w:val="766"/>
    <w:uiPriority w:val="0"/>
    <w:qFormat/>
    <w:pPr>
      <w:jc w:val="left"/>
      <w:spacing w:before="100" w:beforeAutospacing="1" w:after="100" w:afterAutospacing="1"/>
      <w:widowControl/>
    </w:pPr>
    <w:rPr>
      <w:rFonts w:ascii="宋体" w:hAnsi="宋体" w:eastAsia="宋体" w:cs="宋体"/>
      <w:sz w:val="24"/>
      <w:szCs w:val="24"/>
    </w:rPr>
  </w:style>
  <w:style w:type="paragraph" w:styleId="804">
    <w:name w:val="Title"/>
    <w:basedOn w:val="766"/>
    <w:next w:val="766"/>
    <w:link w:val="831"/>
    <w:uiPriority w:val="10"/>
    <w:qFormat/>
    <w:pPr>
      <w:contextualSpacing/>
      <w:spacing w:before="300" w:after="200"/>
    </w:pPr>
    <w:rPr>
      <w:sz w:val="48"/>
      <w:szCs w:val="48"/>
    </w:rPr>
  </w:style>
  <w:style w:type="table" w:styleId="805">
    <w:name w:val="Table Grid"/>
    <w:basedOn w:val="7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endnote reference"/>
    <w:basedOn w:val="776"/>
    <w:uiPriority w:val="99"/>
    <w:semiHidden/>
    <w:unhideWhenUsed/>
    <w:qFormat/>
    <w:rPr>
      <w:vertAlign w:val="superscript"/>
    </w:rPr>
  </w:style>
  <w:style w:type="character" w:styleId="807">
    <w:name w:val="FollowedHyperlink"/>
    <w:basedOn w:val="776"/>
    <w:uiPriority w:val="99"/>
    <w:semiHidden/>
    <w:unhideWhenUsed/>
    <w:qFormat/>
    <w:rPr>
      <w:color w:val="800080"/>
      <w:u w:val="none"/>
    </w:rPr>
  </w:style>
  <w:style w:type="character" w:styleId="808">
    <w:name w:val="HTML Definition"/>
    <w:basedOn w:val="776"/>
    <w:uiPriority w:val="99"/>
    <w:semiHidden/>
    <w:unhideWhenUsed/>
    <w:qFormat/>
  </w:style>
  <w:style w:type="character" w:styleId="809">
    <w:name w:val="HTML Typewriter"/>
    <w:basedOn w:val="776"/>
    <w:uiPriority w:val="99"/>
    <w:semiHidden/>
    <w:unhideWhenUsed/>
    <w:qFormat/>
    <w:rPr>
      <w:rFonts w:ascii="monospace" w:hAnsi="monospace" w:eastAsia="monospace" w:cs="monospace"/>
      <w:sz w:val="20"/>
    </w:rPr>
  </w:style>
  <w:style w:type="character" w:styleId="810">
    <w:name w:val="HTML Acronym"/>
    <w:basedOn w:val="776"/>
    <w:uiPriority w:val="99"/>
    <w:semiHidden/>
    <w:unhideWhenUsed/>
    <w:qFormat/>
  </w:style>
  <w:style w:type="character" w:styleId="811">
    <w:name w:val="HTML Variable"/>
    <w:basedOn w:val="776"/>
    <w:uiPriority w:val="99"/>
    <w:semiHidden/>
    <w:unhideWhenUsed/>
    <w:qFormat/>
  </w:style>
  <w:style w:type="character" w:styleId="812">
    <w:name w:val="Hyperlink"/>
    <w:uiPriority w:val="99"/>
    <w:qFormat/>
    <w:rPr>
      <w:color w:val="0000ff"/>
      <w:u w:val="none"/>
    </w:rPr>
  </w:style>
  <w:style w:type="character" w:styleId="813">
    <w:name w:val="HTML Code"/>
    <w:basedOn w:val="776"/>
    <w:uiPriority w:val="99"/>
    <w:semiHidden/>
    <w:unhideWhenUsed/>
    <w:qFormat/>
    <w:rPr>
      <w:rFonts w:hint="default" w:ascii="monospace" w:hAnsi="monospace" w:eastAsia="monospace" w:cs="monospace"/>
      <w:sz w:val="20"/>
    </w:rPr>
  </w:style>
  <w:style w:type="character" w:styleId="814">
    <w:name w:val="annotation reference"/>
    <w:uiPriority w:val="0"/>
    <w:qFormat/>
    <w:rPr>
      <w:sz w:val="21"/>
      <w:szCs w:val="21"/>
    </w:rPr>
  </w:style>
  <w:style w:type="character" w:styleId="815">
    <w:name w:val="HTML Cite"/>
    <w:basedOn w:val="776"/>
    <w:uiPriority w:val="99"/>
    <w:semiHidden/>
    <w:unhideWhenUsed/>
    <w:qFormat/>
  </w:style>
  <w:style w:type="character" w:styleId="816">
    <w:name w:val="footnote reference"/>
    <w:basedOn w:val="776"/>
    <w:uiPriority w:val="99"/>
    <w:unhideWhenUsed/>
    <w:qFormat/>
    <w:rPr>
      <w:vertAlign w:val="superscript"/>
    </w:rPr>
  </w:style>
  <w:style w:type="character" w:styleId="817">
    <w:name w:val="HTML Keyboard"/>
    <w:basedOn w:val="776"/>
    <w:uiPriority w:val="99"/>
    <w:semiHidden/>
    <w:unhideWhenUsed/>
    <w:qFormat/>
    <w:rPr>
      <w:rFonts w:hint="default" w:ascii="monospace" w:hAnsi="monospace" w:eastAsia="monospace" w:cs="monospace"/>
      <w:sz w:val="20"/>
    </w:rPr>
  </w:style>
  <w:style w:type="character" w:styleId="818">
    <w:name w:val="HTML Sample"/>
    <w:basedOn w:val="776"/>
    <w:uiPriority w:val="99"/>
    <w:semiHidden/>
    <w:unhideWhenUsed/>
    <w:qFormat/>
    <w:rPr>
      <w:rFonts w:hint="default" w:ascii="monospace" w:hAnsi="monospace" w:eastAsia="monospace" w:cs="monospace"/>
    </w:rPr>
  </w:style>
  <w:style w:type="paragraph" w:styleId="819" w:customStyle="1">
    <w:name w:val="标题 11"/>
    <w:basedOn w:val="766"/>
    <w:next w:val="766"/>
    <w:uiPriority w:val="0"/>
    <w:qFormat/>
    <w:pPr>
      <w:jc w:val="center"/>
      <w:keepNext/>
      <w:outlineLvl w:val="0"/>
    </w:pPr>
    <w:rPr>
      <w:rFonts w:ascii="楷体_GB2312" w:eastAsia="楷体_GB2312"/>
      <w:sz w:val="28"/>
      <w:szCs w:val="28"/>
    </w:rPr>
  </w:style>
  <w:style w:type="character" w:styleId="820" w:customStyle="1">
    <w:name w:val="Heading 1 Char"/>
    <w:basedOn w:val="776"/>
    <w:uiPriority w:val="9"/>
    <w:qFormat/>
    <w:rPr>
      <w:rFonts w:ascii="Arial" w:hAnsi="Arial" w:eastAsia="Arial" w:cs="Arial"/>
      <w:sz w:val="40"/>
      <w:szCs w:val="40"/>
    </w:rPr>
  </w:style>
  <w:style w:type="character" w:styleId="821" w:customStyle="1">
    <w:name w:val="Heading 2 Char"/>
    <w:basedOn w:val="776"/>
    <w:uiPriority w:val="9"/>
    <w:qFormat/>
    <w:rPr>
      <w:rFonts w:ascii="Arial" w:hAnsi="Arial" w:eastAsia="Arial" w:cs="Arial"/>
      <w:sz w:val="34"/>
    </w:rPr>
  </w:style>
  <w:style w:type="character" w:styleId="822" w:customStyle="1">
    <w:name w:val="Heading 3 Char"/>
    <w:basedOn w:val="776"/>
    <w:uiPriority w:val="9"/>
    <w:qFormat/>
    <w:rPr>
      <w:rFonts w:ascii="Arial" w:hAnsi="Arial" w:eastAsia="Arial" w:cs="Arial"/>
      <w:sz w:val="30"/>
      <w:szCs w:val="30"/>
    </w:rPr>
  </w:style>
  <w:style w:type="character" w:styleId="823" w:customStyle="1">
    <w:name w:val="Heading 4 Char"/>
    <w:basedOn w:val="776"/>
    <w:link w:val="770"/>
    <w:uiPriority w:val="9"/>
    <w:qFormat/>
    <w:rPr>
      <w:rFonts w:ascii="Arial" w:hAnsi="Arial" w:eastAsia="Arial" w:cs="Arial"/>
      <w:b/>
      <w:bCs/>
      <w:sz w:val="26"/>
      <w:szCs w:val="26"/>
    </w:rPr>
  </w:style>
  <w:style w:type="character" w:styleId="824" w:customStyle="1">
    <w:name w:val="Heading 5 Char"/>
    <w:basedOn w:val="776"/>
    <w:link w:val="771"/>
    <w:uiPriority w:val="9"/>
    <w:qFormat/>
    <w:rPr>
      <w:rFonts w:ascii="Arial" w:hAnsi="Arial" w:eastAsia="Arial" w:cs="Arial"/>
      <w:b/>
      <w:bCs/>
      <w:sz w:val="24"/>
      <w:szCs w:val="24"/>
    </w:rPr>
  </w:style>
  <w:style w:type="character" w:styleId="825" w:customStyle="1">
    <w:name w:val="Heading 6 Char"/>
    <w:basedOn w:val="776"/>
    <w:link w:val="772"/>
    <w:uiPriority w:val="9"/>
    <w:qFormat/>
    <w:rPr>
      <w:rFonts w:ascii="Arial" w:hAnsi="Arial" w:eastAsia="Arial" w:cs="Arial"/>
      <w:b/>
      <w:bCs/>
      <w:sz w:val="22"/>
      <w:szCs w:val="22"/>
    </w:rPr>
  </w:style>
  <w:style w:type="character" w:styleId="826" w:customStyle="1">
    <w:name w:val="Heading 7 Char"/>
    <w:basedOn w:val="776"/>
    <w:link w:val="773"/>
    <w:uiPriority w:val="9"/>
    <w:qFormat/>
    <w:rPr>
      <w:rFonts w:ascii="Arial" w:hAnsi="Arial" w:eastAsia="Arial" w:cs="Arial"/>
      <w:b/>
      <w:bCs/>
      <w:i/>
      <w:iCs/>
      <w:sz w:val="22"/>
      <w:szCs w:val="22"/>
    </w:rPr>
  </w:style>
  <w:style w:type="character" w:styleId="827" w:customStyle="1">
    <w:name w:val="Heading 8 Char"/>
    <w:basedOn w:val="776"/>
    <w:link w:val="774"/>
    <w:uiPriority w:val="9"/>
    <w:qFormat/>
    <w:rPr>
      <w:rFonts w:ascii="Arial" w:hAnsi="Arial" w:eastAsia="Arial" w:cs="Arial"/>
      <w:i/>
      <w:iCs/>
      <w:sz w:val="22"/>
      <w:szCs w:val="22"/>
    </w:rPr>
  </w:style>
  <w:style w:type="character" w:styleId="828" w:customStyle="1">
    <w:name w:val="Heading 9 Char"/>
    <w:basedOn w:val="776"/>
    <w:link w:val="775"/>
    <w:uiPriority w:val="9"/>
    <w:qFormat/>
    <w:rPr>
      <w:rFonts w:ascii="Arial" w:hAnsi="Arial" w:eastAsia="Arial" w:cs="Arial"/>
      <w:i/>
      <w:iCs/>
      <w:sz w:val="21"/>
      <w:szCs w:val="21"/>
    </w:rPr>
  </w:style>
  <w:style w:type="paragraph" w:styleId="829">
    <w:name w:val="List Paragraph"/>
    <w:basedOn w:val="766"/>
    <w:uiPriority w:val="34"/>
    <w:qFormat/>
    <w:pPr>
      <w:contextualSpacing/>
      <w:ind w:left="720"/>
    </w:p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character" w:styleId="831" w:customStyle="1">
    <w:name w:val="Title Char"/>
    <w:basedOn w:val="776"/>
    <w:link w:val="804"/>
    <w:uiPriority w:val="10"/>
    <w:qFormat/>
    <w:rPr>
      <w:sz w:val="48"/>
      <w:szCs w:val="48"/>
    </w:rPr>
  </w:style>
  <w:style w:type="character" w:styleId="832" w:customStyle="1">
    <w:name w:val="Subtitle Char"/>
    <w:basedOn w:val="776"/>
    <w:link w:val="796"/>
    <w:uiPriority w:val="11"/>
    <w:qFormat/>
    <w:rPr>
      <w:sz w:val="24"/>
      <w:szCs w:val="24"/>
    </w:rPr>
  </w:style>
  <w:style w:type="paragraph" w:styleId="833">
    <w:name w:val="Quote"/>
    <w:basedOn w:val="766"/>
    <w:next w:val="766"/>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66"/>
    <w:next w:val="766"/>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76"/>
    <w:uiPriority w:val="99"/>
    <w:qFormat/>
  </w:style>
  <w:style w:type="character" w:styleId="838" w:customStyle="1">
    <w:name w:val="Footer Char"/>
    <w:basedOn w:val="776"/>
    <w:uiPriority w:val="99"/>
    <w:qFormat/>
  </w:style>
  <w:style w:type="character" w:styleId="839" w:customStyle="1">
    <w:name w:val="Caption Char"/>
    <w:uiPriority w:val="99"/>
    <w:qFormat/>
  </w:style>
  <w:style w:type="table" w:styleId="840" w:customStyle="1">
    <w:name w:val="Table Grid Light"/>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w:basedOn w:val="7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7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7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7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7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7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7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7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7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7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7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7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7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basedOn w:val="7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w:basedOn w:val="7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7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7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7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basedOn w:val="77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w:basedOn w:val="7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7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7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7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7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7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7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7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7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7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7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7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7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w:basedOn w:val="7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7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basedOn w:val="77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basedOn w:val="77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basedOn w:val="77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basedOn w:val="77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basedOn w:val="77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7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basedOn w:val="77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7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7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7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7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w:basedOn w:val="7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7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basedOn w:val="77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basedOn w:val="77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basedOn w:val="77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basedOn w:val="77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basedOn w:val="77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w:basedOn w:val="7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7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7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7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7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7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7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7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7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7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7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7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7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w:basedOn w:val="7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7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7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7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7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7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7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basedOn w:val="7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basedOn w:val="7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7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basedOn w:val="77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basedOn w:val="77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basedOn w:val="77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basedOn w:val="77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basedOn w:val="77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basedOn w:val="7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7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basedOn w:val="77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basedOn w:val="77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basedOn w:val="77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basedOn w:val="77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basedOn w:val="77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Footnote Text Char"/>
    <w:link w:val="797"/>
    <w:uiPriority w:val="99"/>
    <w:qFormat/>
    <w:rPr>
      <w:sz w:val="18"/>
    </w:rPr>
  </w:style>
  <w:style w:type="character" w:styleId="966" w:customStyle="1">
    <w:name w:val="Endnote Text Char"/>
    <w:link w:val="789"/>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character" w:styleId="968" w:customStyle="1">
    <w:name w:val="页眉 字符"/>
    <w:basedOn w:val="776"/>
    <w:link w:val="792"/>
    <w:uiPriority w:val="99"/>
    <w:qFormat/>
    <w:rPr>
      <w:sz w:val="18"/>
      <w:szCs w:val="18"/>
    </w:rPr>
  </w:style>
  <w:style w:type="character" w:styleId="969" w:customStyle="1">
    <w:name w:val="页脚 字符"/>
    <w:basedOn w:val="776"/>
    <w:link w:val="791"/>
    <w:uiPriority w:val="99"/>
    <w:qFormat/>
    <w:rPr>
      <w:sz w:val="18"/>
      <w:szCs w:val="18"/>
    </w:rPr>
  </w:style>
  <w:style w:type="character" w:styleId="970" w:customStyle="1">
    <w:name w:val="标题 1 字符"/>
    <w:basedOn w:val="776"/>
    <w:link w:val="767"/>
    <w:uiPriority w:val="9"/>
    <w:qFormat/>
    <w:rPr>
      <w:b/>
      <w:bCs/>
      <w:sz w:val="44"/>
      <w:szCs w:val="44"/>
    </w:rPr>
  </w:style>
  <w:style w:type="character" w:styleId="971" w:customStyle="1">
    <w:name w:val="文档结构图 字符"/>
    <w:basedOn w:val="776"/>
    <w:link w:val="781"/>
    <w:uiPriority w:val="99"/>
    <w:semiHidden/>
    <w:qFormat/>
    <w:rPr>
      <w:rFonts w:ascii="宋体" w:eastAsia="宋体"/>
      <w:sz w:val="18"/>
      <w:szCs w:val="18"/>
    </w:rPr>
  </w:style>
  <w:style w:type="character" w:styleId="972" w:customStyle="1">
    <w:name w:val="标题 2 字符"/>
    <w:basedOn w:val="776"/>
    <w:link w:val="768"/>
    <w:uiPriority w:val="9"/>
    <w:qFormat/>
    <w:rPr>
      <w:rFonts w:asciiTheme="majorHAnsi" w:hAnsiTheme="majorHAnsi" w:eastAsiaTheme="majorEastAsia" w:cstheme="majorBidi"/>
      <w:b/>
      <w:bCs/>
      <w:sz w:val="32"/>
      <w:szCs w:val="32"/>
    </w:rPr>
  </w:style>
  <w:style w:type="character" w:styleId="973" w:customStyle="1">
    <w:name w:val="标题 3 字符"/>
    <w:basedOn w:val="776"/>
    <w:link w:val="769"/>
    <w:uiPriority w:val="9"/>
    <w:qFormat/>
    <w:rPr>
      <w:b/>
      <w:bCs/>
      <w:sz w:val="32"/>
      <w:szCs w:val="32"/>
    </w:rPr>
  </w:style>
  <w:style w:type="character" w:styleId="974" w:customStyle="1">
    <w:name w:val="日期 字符"/>
    <w:basedOn w:val="776"/>
    <w:link w:val="788"/>
    <w:uiPriority w:val="99"/>
    <w:semiHidden/>
    <w:qFormat/>
  </w:style>
  <w:style w:type="character" w:styleId="975" w:customStyle="1">
    <w:name w:val="批注文字 字符"/>
    <w:basedOn w:val="776"/>
    <w:link w:val="782"/>
    <w:uiPriority w:val="0"/>
    <w:qFormat/>
    <w:rPr>
      <w:rFonts w:ascii="Times New Roman" w:hAnsi="Times New Roman" w:eastAsia="宋体" w:cs="Times New Roman"/>
      <w:szCs w:val="24"/>
    </w:rPr>
  </w:style>
  <w:style w:type="character" w:styleId="976" w:customStyle="1">
    <w:name w:val="批注框文本 字符"/>
    <w:basedOn w:val="776"/>
    <w:link w:val="790"/>
    <w:uiPriority w:val="99"/>
    <w:semiHidden/>
    <w:qFormat/>
    <w:rPr>
      <w:sz w:val="18"/>
      <w:szCs w:val="18"/>
    </w:rPr>
  </w:style>
  <w:style w:type="paragraph" w:styleId="977" w:customStyle="1">
    <w:name w:val="Default"/>
    <w:link w:val="978"/>
    <w:uiPriority w:val="99"/>
    <w:qFormat/>
    <w:pPr>
      <w:widowControl w:val="off"/>
    </w:pPr>
    <w:rPr>
      <w:rFonts w:hint="default" w:ascii="MS Mincho" w:hAnsi="Calibri" w:eastAsia="宋体" w:cs="Times New Roman"/>
      <w:color w:val="000000"/>
      <w:sz w:val="21"/>
      <w:szCs w:val="24"/>
      <w:lang w:val="en-US" w:eastAsia="zh-CN" w:bidi="ar-SA"/>
    </w:rPr>
  </w:style>
  <w:style w:type="character" w:styleId="978" w:customStyle="1">
    <w:name w:val="Default Char"/>
    <w:link w:val="977"/>
    <w:uiPriority w:val="99"/>
    <w:qFormat/>
    <w:rPr>
      <w:rFonts w:ascii="MS Mincho" w:hAnsi="Calibri" w:eastAsia="宋体" w:cs="Times New Roman"/>
      <w:color w:val="000000"/>
      <w:szCs w:val="24"/>
    </w:rPr>
  </w:style>
  <w:style w:type="character" w:styleId="979" w:customStyle="1">
    <w:name w:val="纯文本 字符"/>
    <w:basedOn w:val="776"/>
    <w:link w:val="786"/>
    <w:uiPriority w:val="0"/>
    <w:qFormat/>
    <w:rPr>
      <w:rFonts w:ascii="宋体" w:hAnsi="Courier New" w:eastAsia="宋体" w:cs="Times New Roman"/>
      <w:szCs w:val="20"/>
    </w:rPr>
  </w:style>
  <w:style w:type="paragraph" w:styleId="980" w:customStyle="1">
    <w:name w:val="纯文本1"/>
    <w:basedOn w:val="766"/>
    <w:uiPriority w:val="0"/>
    <w:qFormat/>
    <w:rPr>
      <w:rFonts w:ascii="宋体" w:hAnsi="Courier New" w:cs="Courier New"/>
    </w:rPr>
  </w:style>
  <w:style w:type="character" w:styleId="981" w:customStyle="1">
    <w:name w:val="15"/>
    <w:link w:val="766"/>
    <w:uiPriority w:val="0"/>
    <w:qFormat/>
    <w:rPr>
      <w:rFonts w:asciiTheme="minorHAnsi" w:hAnsiTheme="minorHAnsi" w:eastAsiaTheme="minorEastAsia" w:cstheme="minorBidi"/>
      <w:sz w:val="21"/>
      <w:szCs w:val="22"/>
      <w:lang w:val="en-US" w:eastAsia="zh-CN" w:bidi="ar-SA"/>
    </w:rPr>
  </w:style>
  <w:style w:type="paragraph" w:styleId="982" w:customStyle="1">
    <w:name w:val="正文缩进1"/>
    <w:basedOn w:val="766"/>
    <w:uiPriority w:val="0"/>
    <w:qFormat/>
    <w:pPr>
      <w:ind w:firstLine="420"/>
    </w:pPr>
  </w:style>
  <w:style w:type="paragraph" w:styleId="983" w:customStyle="1">
    <w:name w:val="页脚1"/>
    <w:basedOn w:val="766"/>
    <w:uiPriority w:val="0"/>
    <w:qFormat/>
    <w:pPr>
      <w:jc w:val="left"/>
      <w:tabs>
        <w:tab w:val="center" w:pos="4153" w:leader="none"/>
        <w:tab w:val="right" w:pos="8306" w:leader="none"/>
      </w:tabs>
    </w:pPr>
    <w:rPr>
      <w:sz w:val="18"/>
      <w:szCs w:val="18"/>
    </w:rPr>
  </w:style>
  <w:style w:type="character" w:styleId="984" w:customStyle="1">
    <w:name w:val="页码1"/>
    <w:link w:val="766"/>
    <w:uiPriority w:val="0"/>
    <w:qFormat/>
  </w:style>
  <w:style w:type="paragraph" w:styleId="985" w:customStyle="1">
    <w:name w:val="标题 61"/>
    <w:basedOn w:val="766"/>
    <w:uiPriority w:val="1"/>
    <w:qFormat/>
    <w:pPr>
      <w:ind w:left="695"/>
      <w:outlineLvl w:val="6"/>
    </w:pPr>
    <w:rPr>
      <w:rFonts w:ascii="Microsoft JhengHei" w:hAnsi="Microsoft JhengHei" w:eastAsia="Microsoft JhengHei" w:cs="Microsoft JhengHei"/>
      <w:b/>
      <w:bCs/>
      <w:sz w:val="24"/>
      <w:szCs w:val="24"/>
    </w:rPr>
  </w:style>
  <w:style w:type="paragraph" w:styleId="986" w:customStyle="1">
    <w:name w:val="普通正文"/>
    <w:basedOn w:val="766"/>
    <w:uiPriority w:val="0"/>
    <w:qFormat/>
    <w:pPr>
      <w:ind w:firstLine="480"/>
      <w:jc w:val="left"/>
      <w:spacing w:before="120" w:after="120" w:line="360" w:lineRule="auto"/>
    </w:pPr>
    <w:rPr>
      <w:rFonts w:ascii="Arial" w:hAnsi="Arial"/>
      <w:sz w:val="24"/>
      <w:szCs w:val="24"/>
    </w:rPr>
  </w:style>
  <w:style w:type="paragraph" w:styleId="987" w:customStyle="1">
    <w:name w:val="HTML 预设格式1"/>
    <w:basedOn w:val="76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table" w:styleId="988" w:customStyle="1">
    <w:name w:val="Table Normal1"/>
    <w:uiPriority w:val="0"/>
    <w:semiHidden/>
    <w:unhideWhenUsed/>
    <w:qFormat/>
    <w:rPr>
      <w:rFonts w:ascii="Arial" w:hAnsi="Arial" w:cs="Arial"/>
      <w:color w:val="000000"/>
      <w:sz w:val="21"/>
      <w:szCs w:val="21"/>
    </w:rPr>
    <w:tblPr>
      <w:tblCellMar>
        <w:left w:w="0" w:type="dxa"/>
        <w:top w:w="0" w:type="dxa"/>
        <w:right w:w="0" w:type="dxa"/>
        <w:bottom w:w="0" w:type="dxa"/>
      </w:tblCellMar>
    </w:tblPr>
  </w:style>
  <w:style w:type="paragraph" w:styleId="989" w:customStyle="1">
    <w:name w:val="Table Paragraph"/>
    <w:basedOn w:val="766"/>
    <w:uiPriority w:val="1"/>
    <w:qFormat/>
    <w:rPr>
      <w:rFonts w:ascii="宋体" w:hAnsi="宋体" w:eastAsia="宋体" w:cs="宋体"/>
      <w:lang w:val="zh-CN" w:eastAsia="zh-CN" w:bidi="zh-CN"/>
    </w:rPr>
  </w:style>
  <w:style w:type="table" w:styleId="990" w:customStyle="1">
    <w:name w:val="Table Normal"/>
    <w:uiPriority w:val="2"/>
    <w:semiHidden/>
    <w:unhideWhenUsed/>
    <w:qFormat/>
    <w:tblPr>
      <w:tblCellMar>
        <w:left w:w="0" w:type="dxa"/>
        <w:top w:w="0" w:type="dxa"/>
        <w:right w:w="0" w:type="dxa"/>
        <w:bottom w:w="0" w:type="dxa"/>
      </w:tblCellMar>
    </w:tblPr>
  </w:style>
  <w:style w:type="paragraph" w:styleId="991" w:customStyle="1">
    <w:name w:val="正文1"/>
    <w:uiPriority w:val="0"/>
    <w:qFormat/>
    <w:pPr>
      <w:jc w:val="both"/>
      <w:widowControl w:val="off"/>
    </w:pPr>
    <w:rPr>
      <w:rFonts w:hint="default" w:ascii="Calibri" w:hAnsi="Calibri" w:eastAsia="新宋体" w:cs="Times New Roman"/>
      <w:sz w:val="21"/>
      <w:szCs w:val="24"/>
      <w:lang w:bidi="hi-IN"/>
    </w:rPr>
  </w:style>
  <w:style w:type="character" w:styleId="992" w:customStyle="1">
    <w:name w:val="hover"/>
    <w:basedOn w:val="776"/>
    <w:uiPriority w:val="0"/>
    <w:qFormat/>
    <w:rPr>
      <w:color w:val="5fb878"/>
    </w:rPr>
  </w:style>
  <w:style w:type="character" w:styleId="993" w:customStyle="1">
    <w:name w:val="hover1"/>
    <w:basedOn w:val="776"/>
    <w:uiPriority w:val="0"/>
    <w:qFormat/>
    <w:rPr>
      <w:color w:val="ffffff"/>
    </w:rPr>
  </w:style>
  <w:style w:type="character" w:styleId="994" w:customStyle="1">
    <w:name w:val="hover2"/>
    <w:basedOn w:val="776"/>
    <w:uiPriority w:val="0"/>
    <w:qFormat/>
    <w:rPr>
      <w:color w:val="5fb878"/>
    </w:rPr>
  </w:style>
  <w:style w:type="character" w:styleId="995" w:customStyle="1">
    <w:name w:val="first-child"/>
    <w:basedOn w:val="776"/>
    <w:uiPriority w:val="0"/>
    <w:qFormat/>
  </w:style>
  <w:style w:type="character" w:styleId="996" w:customStyle="1">
    <w:name w:val="layui-this2"/>
    <w:basedOn w:val="776"/>
    <w:uiPriority w:val="0"/>
    <w:qFormat/>
    <w:rPr>
      <w:shd w:val="clear" w:color="auto" w:fill="ffffff"/>
    </w:rPr>
  </w:style>
  <w:style w:type="character" w:styleId="997" w:customStyle="1">
    <w:name w:val="layui-this"/>
    <w:basedOn w:val="776"/>
    <w:uiPriority w:val="0"/>
    <w:qFormat/>
    <w:rPr>
      <w:shd w:val="clear" w:color="auto" w:fill="ffffff"/>
    </w:rPr>
  </w:style>
  <w:style w:type="character" w:styleId="998" w:customStyle="1">
    <w:name w:val="hover3"/>
    <w:basedOn w:val="776"/>
    <w:uiPriority w:val="0"/>
    <w:qFormat/>
    <w:rPr>
      <w:color w:val="ffffff"/>
    </w:rPr>
  </w:style>
  <w:style w:type="character" w:styleId="999" w:customStyle="1">
    <w:name w:val="hover4"/>
    <w:basedOn w:val="776"/>
    <w:uiPriority w:val="0"/>
    <w:qFormat/>
    <w:rPr>
      <w:color w:val="5fb878"/>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宋厚达</cp:lastModifiedBy>
  <cp:revision>11</cp:revision>
  <dcterms:created xsi:type="dcterms:W3CDTF">2024-01-04T03:50:00Z</dcterms:created>
  <dcterms:modified xsi:type="dcterms:W3CDTF">2025-12-20T03:12:38Z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F2A3C5048C1C408594A6BB286F296670_13</vt:lpwstr>
  </property>
  <property fmtid="{D5CDD505-2E9C-101B-9397-08002B2CF9AE}" pid="4" name="KSOTemplateDocerSaveRecord">
    <vt:lpwstr>eyJoZGlkIjoiZjI5N2JiODQ3NzdhOWJlYmVhNmNhNjA3MDEzY2M1YTgiLCJ1c2VySWQiOiIzNTIzNDkyOTYifQ==</vt:lpwstr>
  </property>
</Properties>
</file>